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155/2009 vom 24. August 2009</w:t>
      </w:r>
    </w:p>
    <w:p>
      <w:r>
        <w:t>Bundesgericht, 2009-08-24, FR</w:t>
      </w:r>
    </w:p>
    <w:p>
      <w:r>
        <w:rPr>
          <w:b/>
        </w:rPr>
        <w:t xml:space="preserve">Quelle: </w:t>
      </w:r>
      <w:r>
        <w:t>https://mcp.opencaselaw.ch/entscheid/bger_1B_155_2009</w:t>
      </w:r>
    </w:p>
    <w:p>
      <w:r>
        <w:t>FR: TF 1B 155/2009 du 24 août 2009</w:t>
      </w:r>
    </w:p>
    <w:p>
      <w:r>
        <w:t>IT: TF 1B 155/2009 del 24 agosto 2009</w:t>
      </w:r>
    </w:p>
    <w:p>
      <w:pPr>
        <w:pStyle w:val="Heading2"/>
      </w:pPr>
      <w:r>
        <w:t>Regeste</w:t>
      </w:r>
    </w:p>
    <w:p>
      <w:r>
        <w:t>procédure pénale | Procédure pénale</w:t>
      </w:r>
    </w:p>
    <w:p>
      <w:pPr>
        <w:pStyle w:val="Heading2"/>
      </w:pPr>
      <w:r>
        <w:t>Erwägungen</w:t>
      </w:r>
    </w:p>
    <w:p>
      <w:r>
        <w:rPr>
          <w:b/>
        </w:rPr>
        <w:t>E. 1</w:t>
      </w:r>
    </w:p>
    <w:p>
      <w:r>
        <w:t>La décision attaquée, qui confirme un refus d'ordonner une restriction au droit d'aliéner des parcelles à titre de mesure conservatoire (cf. art. 97 al. 2 du code de procédure pénale du canton du Valais du 22 février 1962 [CPP/VS; RSV 312.0]), est une décision en matière pénale au sens de l' art. 78 al. 1 LTF . Formé en temps utile ( art. 100 al. 1 LTF ) contre une décision prise en dernière instance cantonale ( art. 80 LTF ) et qui touche les recourants dans leurs intérêts juridiquement protégés (art. 81 al. 1 let. a et b ch. 1 LTF), le recours en matière pénale est en principe recevable, sous réserve des conditions de recevabilité posées notamment aux art. 90 ss LTF .</w:t>
      </w:r>
    </w:p>
    <w:p>
      <w:r>
        <w:rPr>
          <w:b/>
        </w:rPr>
        <w:t>E. 2.1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rPr>
          <w:b/>
        </w:rPr>
        <w:t>E. 2.2</w:t>
      </w:r>
    </w:p>
    <w:p>
      <w:r>
        <w:t>En l'espèce, le refus du Juge d'instruction d'ordonner l'annotation requise, qui peut être assimilée à un refus d'ordonner un séquestre, constitue une décision incidente au sens de l' art. 93 LTF , puisqu'il ne met pas un terme à la procédure pénale (cf. ATF 128 I 129 consid. 1 p. 131; 126 I 97 consid. 1b p. 100) et qu'il n'a pas été prononcé dans le cadre d'une procédure spécifique dont il pourrait constituer l'aboutissement. L' art. 93 al. 1 let. b LTF est manifestement inapplicable, car le sort de la mesure provisoire est sans effet sur la procédure au fond. Il y a donc lieu d'examiner si le recours est recevable en application de l' art. 93 al. 1 let. a LTF .</w:t>
      </w:r>
    </w:p>
    <w:p>
      <w:r>
        <w:rPr>
          <w:b/>
        </w:rPr>
        <w:t>E. 2.3</w:t>
      </w:r>
    </w:p>
    <w:p>
      <w:r>
        <w:t>Selon l' art. 93 al. 1 let. a LTF , le recours est recevable lorsque la décision attaquée est susceptible de causer un préjudice irréparable. La notion de préjudice irréparable étant calquée sur celle que posait l'ancien art. 87 al. 2 OJ pour le recours de droit public, la jurisprudence rendue à propos de cette norme garde toute sa portée. En matière pénale, conformément à la pratique développée sous l'empire de l' art. 87 al. 2 OJ , il doit s'agir d'un dommage de nature juridique, qui ne puisse pas être réparé ultérieurement par un jugement final ou une autre décision favorable au recourant. ( ATF 133 IV 335 consid. 4 p. 338; 139 consid. 4 p. 141). Il appartient au recourant d'alléguer et d'établir la possibilité que la décision incidente lui cause un dommage irréparable, à moins que celui-ci ne fasse d'emblée aucun doute ( ATF 133 III 629 consid. 2.3.1 p. 632). D'après la jurisprudence constante relative à l' art. 87 OJ , le séquestre probatoire ou conservatoire de valeurs patrimoniales est de nature à causer un dommage irréparable, dans la mesure où le détenteur se trouve privé temporairement de la libre disposition des valeurs saisies ( ATF 128 I 129 consid. 1 p. 131; et les arrêts cités). Quant au refus d'ordonner le séquestre, il peut avoir pour conséquence un tel préjudice ( ATF 126 I 97 consid. 1b p. 101), ce qu'il appartient toutefois au recourant de rendre vraisemblable. Dans le cas particulier, les recourants n'ont pas démontré que le refus du Juge d'instruction d'ordonner l'annotation de la restriction au droit d'aliéner était de nature à leur causer un dommage qui ne pouvait être réparé à l'issue du procès. Ils se contentent d'affirmer que, selon qu'une restriction du droit d'aliéner est annotée au registre foncier ou non, leur situation ne serait pas la même au terme de la procédure pénale dirigée actuellement contre E.________, si dans l'intervalle la banque X.________ a été déclarée en faillite ou a vendu les parcelles litigieuses; ils soutiennent que leurs prétentions civiles s'élèvent à plusieurs millions de francs suisses. Les recourants n'ont toutefois pas explicité ni documenté ces prétentions et encore moins rendu vraisemblable qu'en cas d'issue favorable du procès ils ne pourraient recouvrer les montants dus. Quoi qu'il en soit, l'hypothèse de la faillite de la banque X.________ et son incapacité, le cas échéant, de s'acquitter de ses dettes est un simple allégué qui ne permet pas de conclure à un préjudice irréparable en l'espèce, ce d'autant que celui-ci n'apparaît pas être de nature juridique.</w:t>
      </w:r>
    </w:p>
    <w:p>
      <w:r>
        <w:rPr>
          <w:b/>
        </w:rPr>
        <w:t>E. 3</w:t>
      </w:r>
    </w:p>
    <w:p>
      <w:r>
        <w:t>Il résulte de ce qui précède que le recours doit être déclaré irrecevable. Conformément aux art. 66 al. 1 et 68 al. 2 LTF, les frais judiciaires sont mis à la charge des recourants, de même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