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1B_154/2014 vom 1. Mai 2014</w:t>
      </w:r>
    </w:p>
    <w:p>
      <w:r>
        <w:t>Bundesgericht, 2014-05-01, DE</w:t>
      </w:r>
    </w:p>
    <w:p>
      <w:r>
        <w:rPr>
          <w:b/>
        </w:rPr>
        <w:t xml:space="preserve">Quelle: </w:t>
      </w:r>
      <w:r>
        <w:t>https://mcp.opencaselaw.ch/entscheid/bger_1B_154_2014</w:t>
      </w:r>
    </w:p>
    <w:p>
      <w:r>
        <w:t>FR: TF 1B_154/2014 du 1 mai 2014</w:t>
      </w:r>
    </w:p>
    <w:p>
      <w:r>
        <w:t>IT: TF 1B_154/2014 del 1 maggio 2014</w:t>
      </w:r>
    </w:p>
    <w:p>
      <w:pPr>
        <w:pStyle w:val="Heading2"/>
      </w:pPr>
      <w:r>
        <w:t>Erwägungen</w:t>
      </w:r>
    </w:p>
    <w:p>
      <w:r>
        <w:rPr>
          <w:b/>
        </w:rPr>
        <w:t>E. 1</w:t>
      </w:r>
    </w:p>
    <w:p>
      <w:r>
        <w:t>A.________ wurde im bisherigen Strafverfahren von Rechtsanwalt B.________ amtlich verteidigt. Dieser hat gegen das Urteil des Bezirksgerichts Lenzburg vom 1. November 2013 am 19. November 2013 Berufung angemeldet um am 18. März 2014 eine Berufungserklärung eingereicht.</w:t>
      </w:r>
    </w:p>
    <w:p>
      <w:r>
        <w:t>Am 25. November 2013 zeigte Rechtsanwalt Abdullah Karakök mittels Einreichung einer von A.________ unterzeichneten Vollmacht an, dass auch er den Beschuldigten verteidige. Mit Eingabe vom 6. März 2014 stellte er ein Gesuch um Wechsel der amtlichen Verteidigung. Der Verfahrensleiter der 1. Kammer des Strafgerichts des Obergerichts des Kantons Aargau wies das Gesuch mit Verfügung vom 26. März 2014 ab.</w:t>
      </w:r>
    </w:p>
    <w:p>
      <w:r>
        <w:rPr>
          <w:b/>
        </w:rPr>
        <w:t>E. 2</w:t>
      </w:r>
    </w:p>
    <w:p>
      <w:r>
        <w:t>A.________ führt mit Eingabe vom 25. April 2014 Beschwerde in Strafsachen gegen die Verfügung der 1. Kammer des Strafgerichts des Obergerichts des Kantons Aargau vom 26. März 2014. Das Bundesgericht verzichtet auf die Einholung von Vernehmlassungen.</w:t>
      </w:r>
    </w:p>
    <w:p>
      <w:r>
        <w:rPr>
          <w:b/>
        </w:rPr>
        <w:t>E. 3</w:t>
      </w:r>
    </w:p>
    <w:p>
      <w:r>
        <w:t>Die angefochtene Verfügung schliesst das Strafverfahren gegen den Beschwerdeführer nicht ab. Es handelt sich somit um einen Zwischenentscheid. Da der Zwischenentscheid weder die Zuständigkeit noch den Ausstand betrifft (vgl. Art. 92 BGG ), ist er nur anfechtbar, falls er einen nicht wieder gutzumachenden Nachteil bewirkt ( Art. 93 Abs. 1 lit. a BGG ) oder, was hier von vornherein nicht in Betracht fällt, wenn die Gutheissung der Beschwerde sofort einen Endentscheid herbeiführen kann und damit einen bedeutenden Aufwand an Zeit und Kosten für ein weitläufiges Beweisverfahren erspart ( Art. 93 Abs. 1 lit. b BGG ).</w:t>
      </w:r>
    </w:p>
    <w:p>
      <w:r>
        <w:rPr>
          <w:b/>
        </w:rPr>
        <w:t>E. 3.1</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137 IV 237 E. 1.1 S. 239 f., 172 E. 2.1 S. 173 f. ; 135 I 261 E. 1.2 S. 263, je mit Hinweisen).</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3.3</w:t>
      </w:r>
    </w:p>
    <w:p>
      <w:r>
        <w:t>Der Beschwerdeführer setzt sich mit den Beschwerdevoraussetzungen nach Art. 93 Abs. 1 BGG überhaupt nicht auseinander. Er legt nicht dar - noch ist solches ersichtlich -, inwiefern ihm ein nicht wieder gutzumachender Nachteil im Sinne von Art. 93 Abs. 1 lit. a BGG entstehen könnte. Auf die Beschwerde ist deshalb mangels einer hinreichenden Begründung im vereinfachten Verfahren nach Art. 108 Abs. 1 lit. b BGG nicht einzutreten.</w:t>
      </w:r>
    </w:p>
    <w:p>
      <w:r>
        <w:rPr>
          <w:b/>
        </w:rPr>
        <w:t>E. 4</w:t>
      </w:r>
    </w:p>
    <w:p>
      <w:r>
        <w:t>Die Beschwerde erweist sich als offensichtlich aussichtslos, weshalb das Gesuch um unentgeltliche Rechtspflege abzuweisen ist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