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153/2017 vom 4. Mai 2017</w:t>
      </w:r>
    </w:p>
    <w:p>
      <w:r>
        <w:t>Bundesgericht, 2017-05-04, DE</w:t>
      </w:r>
    </w:p>
    <w:p>
      <w:r>
        <w:rPr>
          <w:b/>
        </w:rPr>
        <w:t xml:space="preserve">Quelle: </w:t>
      </w:r>
      <w:r>
        <w:t>https://mcp.opencaselaw.ch/entscheid/bger_1B_153_2017</w:t>
      </w:r>
    </w:p>
    <w:p>
      <w:r>
        <w:t>FR: TF 1B 153/2017 du 4 mai 2017</w:t>
      </w:r>
    </w:p>
    <w:p>
      <w:r>
        <w:t>IT: TF 1B 153/2017 del 4 maggio 2017</w:t>
      </w:r>
    </w:p>
    <w:p>
      <w:pPr>
        <w:pStyle w:val="Heading2"/>
      </w:pPr>
      <w:r>
        <w:t>Regeste</w:t>
      </w:r>
    </w:p>
    <w:p>
      <w:r>
        <w:t>Strafverfahren; unentgeltliche Rechtspflege | Strafprozess</w:t>
      </w:r>
    </w:p>
    <w:p>
      <w:pPr>
        <w:pStyle w:val="Heading2"/>
      </w:pPr>
      <w:r>
        <w:t>Erwägungen</w:t>
      </w:r>
    </w:p>
    <w:p>
      <w:r>
        <w:rPr>
          <w:b/>
        </w:rPr>
        <w:t>E. 1</w:t>
      </w:r>
    </w:p>
    <w:p>
      <w:r>
        <w:t>A.________ reichte gegen die Post AG Strafanzeige ein wegen mehrfach versuchten Betrugs, Erpressung, Veruntreuung und Nötigung. Die Regionale Staatsanwaltschaft Bern-Mittelland nahm mit Verfügung vom 24. März 2017 das Verfahren nicht an die Hand. A.________ erhob dagegen mit Eingabe vom 30. März 2017 Beschwerde, worauf ihn die Beschwerdekammer in Strafsachen des Obergerichts des Kantons Bern mit Verfügung vom 10. April 2017 zur Leistung einer Sicherheit von Fr. 800.-- aufforderte ( Art. 383 StPO ). Mit Eingabe vom 11. April 2017 ersuchte A.________ um Erteilung der unentgeltlichen Rechtspflege. Die Beschwerdekammer in Strafsachen des Obergerichts des Kantons Bern wies dieses Gesuch mit Verfügung vom 12. April 2017 ab und setzte A.________ eine neue Frist zur Leistung einer Sicherheit von Fr. 800.--. Die Beschwerdekammer führte zur Begründung zusammenfassend aus, dass das Begehren um Anhandnahme des Verfahrens wegen Betrugs, Erpressung, Veruntreuung und Nötigung als aussichtslos erscheine, da betreffend Nötigung und Erpressung nicht ersichtlich sei, inwiefern der Strafkläger durch Gewalt, Androhung ernstlicher Nachteile oder sonstige Einschränkungen seiner Handlungsfreiheit zu einem Handeln bewegt worden sei. In Bezug auf den Betrug fehle es mit grösster Wahrscheinlichkeit an einer Bereicherungsabsicht und am Vorsatz. Bezüglich der angeblichen Veruntreuung sei eine Aneignungs- oder unrechtmässige Bereicherungsabsicht wenig wahrscheinlich.</w:t>
      </w:r>
    </w:p>
    <w:p>
      <w:r>
        <w:rPr>
          <w:b/>
        </w:rPr>
        <w:t>E. 2</w:t>
      </w:r>
    </w:p>
    <w:p>
      <w:r>
        <w:t>A.________ erhob gegen die Verfügung vom 12. April 2017 mit Eingabe vom 15. April 2017 Beschwerde bei der Beschwerdekammer in Strafsachen des Obergerichts des Kantons Bern. Mit Schreiben vom 18. April 2017 überwies die Beschwerdekammer die Eingabe vom 15. April 2017 dem Bundesgericht zur weiteren Behandlung.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legt nicht im Einzelnen dar, welches konkrete Verhalten der Post AG bzw. deren Mitarbeiter er für strafbar erachtet. Er vermag daher auch nicht aufzeigen, inwiefern die Beschwerdekammer in rechts- bzw. verfassungswidriger Weise das Begehren auf eine Anhandnahme des Verfahrens wegen Betrugs, Erpressung, Veruntreuung und Nötigung als aussichtslos beurteilte. Aus seinen Ausführungen ergibt sich nicht,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