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1B_152/2022 vom 19. April 2022</w:t>
      </w:r>
    </w:p>
    <w:p>
      <w:r>
        <w:t>Bundesgericht, 2022-04-19, DE</w:t>
      </w:r>
    </w:p>
    <w:p>
      <w:r>
        <w:rPr>
          <w:b/>
        </w:rPr>
        <w:t xml:space="preserve">Quelle: </w:t>
      </w:r>
      <w:r>
        <w:t>https://mcp.opencaselaw.ch/entscheid/bger_1B_152_2022</w:t>
      </w:r>
    </w:p>
    <w:p>
      <w:r>
        <w:t>FR: TF 1B_152/2022 du 19 avril 2022</w:t>
      </w:r>
    </w:p>
    <w:p>
      <w:r>
        <w:t>IT: TF 1B_152/2022 del 19 aprile 2022</w:t>
      </w:r>
    </w:p>
    <w:p>
      <w:pPr>
        <w:pStyle w:val="Heading2"/>
      </w:pPr>
      <w:r>
        <w:t>Erwägungen</w:t>
      </w:r>
    </w:p>
    <w:p>
      <w:r>
        <w:rPr>
          <w:b/>
        </w:rPr>
        <w:t>E. 1.1</w:t>
      </w:r>
    </w:p>
    <w:p>
      <w:r>
        <w:t>Angefochten ist ein kantonal letztinstanzlicher Entscheid, mit dem das Appellationsgericht auf die Anschlussberufung der Staatsanwaltschaft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zum Ganzen: BGE 141 IV 284 E. 2.3; 289 E. 1.3).</w:t>
      </w:r>
    </w:p>
    <w:p>
      <w:r>
        <w:rPr>
          <w:b/>
        </w:rPr>
        <w:t>E. 1.2</w:t>
      </w:r>
    </w:p>
    <w:p>
      <w:r>
        <w:t>Der Beschwerdeführer macht geltend, er habe ein schutzwürdiges Interesse daran, dass über die Gültigkeit der Anschlussberufung vor der Durchführung der Berufungsverhandlung entschieden werde, da er sonst die Möglichkeit verliere, seine Berufung allenfalls rechtzeitig vor dem Abschluss der Parteiverhandlungen ( Art. 386 Abs. 2 lit. a StPO ) zurückziehen zu können.</w:t>
      </w:r>
    </w:p>
    <w:p>
      <w:r>
        <w:t>Erklärt ein erstinstanzlich Verurteilter Berufung, kann die Staatsanwaltschaft Anschlussberufung erheben, welche ohne Weiteres dahinfällt, wenn die Berufung zurückgezogen wird oder auf sie nicht eingetreten wird ( Art. 401 Abs. 3 StPO ). Nach dieser gesetzlichen Regelung trägt der Beschwerdeführer das Risiko, dass das erstinstanzliche Urteil im Rahmen der von der Staatsanwaltschaft gestellten Anträge zu seinen Ungunsten abgeändert werden kann, wenn er an seiner Berufung festhält. Er muss damit die Erfolgsaussichten der Berufung und der Anschlussberufung gegeneinander abwägen und entscheiden, ob er das erstinstanzliche Urteil akzeptieren oder an der Berufung festhalten will mit dem Risiko, dass das Strafurteil zu seinen Ungunsten abgeändert wird. Diese Zwangslage wurde vom Gesetzgeber bewusst so angelegt, der Beschwerdeführer hat deshalb kein schutzwürdiges Interesse, vor der Berufungsverhandlung zu wissen, ob die Anschlussberufung gültig ist oder nicht. Ein nicht wiedergutzumachender Nachteil rechtlicher Natur droht ihm schon gar nicht, weil er gegen das Berufungsurteil Beschwerde ans Bundesgericht erheben und dabei geltend machen kann, die Berufungsinstanz sei zu Unrecht auf die Anschlussberufung eingetreten.</w:t>
      </w:r>
    </w:p>
    <w:p>
      <w:r>
        <w:rPr>
          <w:b/>
        </w:rPr>
        <w:t>E. 1.3</w:t>
      </w:r>
    </w:p>
    <w:p>
      <w:r>
        <w:t>Zusammenfassend ergibt sich damit, dass die Voraussetzungen von Art. 93 Abs. 1 BGG für die Anfechtung des Zwischenentscheids des Appellationsgerichts klarerweise nicht erfüllt sind. Auf die Beschwerde ist im vereinfachten Verfahren nicht einzutreten, womit auch der Antrag auf Anordnung einer vorsorglichen Massnahme hinfällig wird.</w:t>
      </w:r>
    </w:p>
    <w:p>
      <w:r>
        <w:rPr>
          <w:b/>
        </w:rPr>
        <w:t>E. 1.4</w:t>
      </w:r>
    </w:p>
    <w:p>
      <w:r>
        <w:t>Bei diesem Ausgang des Verfahrens wird der Beschwerdeführer kostenpflichtig ( Art. 66 Abs. 1 BGG ). Er hat zwar ein Gesuch um unentgeltliche Prozessführung und Verbeiständung gestellt, welches indessen abzuweisen ist, da die Beschwerde aussichtslos war ( Art. 64 Abs. 1 und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