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1B_151/2015 vom 1. Juli 2015</w:t>
      </w:r>
    </w:p>
    <w:p>
      <w:r>
        <w:t>Bundesgericht, 2015-07-01, FR</w:t>
      </w:r>
    </w:p>
    <w:p>
      <w:r>
        <w:rPr>
          <w:b/>
        </w:rPr>
        <w:t xml:space="preserve">Quelle: </w:t>
      </w:r>
      <w:r>
        <w:t>https://mcp.opencaselaw.ch/entscheid/bger_1B_151_2015</w:t>
      </w:r>
    </w:p>
    <w:p>
      <w:r>
        <w:t>FR: TF 1B_151/2015 du 1 juillet 2015</w:t>
      </w:r>
    </w:p>
    <w:p>
      <w:r>
        <w:t>IT: TF 1B_151/2015 del 1 luglio 2015</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dont la demande de récusation a été rejetée, a qualité pour agir ( art. 81 al. 1 LTF ). Pour le surplus, interjeté en temps utile ( art. 100 al. 1 LTF ) contre une décision prise en dernière instance cantonale (art, 80 al. 1 LTF), le recours en matière pénale est recevable.</w:t>
      </w:r>
    </w:p>
    <w:p>
      <w:r>
        <w:t>Partant, il n'y a pas lieu d'entrer en matière sur le recours constitutionnel subsidiaire interjeté par le recourant.</w:t>
      </w:r>
    </w:p>
    <w:p>
      <w:r>
        <w:rPr>
          <w:b/>
        </w:rPr>
        <w:t>E. 2</w:t>
      </w:r>
    </w:p>
    <w:p>
      <w:r>
        <w:t>Les principes régissant la récusation d'un procureur ( art. 56 ss CPP ) sont exposés correctement dans le jugement entrepris (cf. consid. 2.1). Il convient d'y renvoyer.</w:t>
      </w:r>
    </w:p>
    <w:p>
      <w:r>
        <w:rPr>
          <w:b/>
        </w:rPr>
        <w:t>E. 3</w:t>
      </w:r>
    </w:p>
    <w:p>
      <w:r>
        <w:t>Le recourant soutient que les faits auraient établis de manière partiale par le Ministère public, notamment quant à la vitesse à laquelle il circulait, ainsi que par rapport au point d'impact retenu. Il prétend également qu'aucun acte d'instruction n'aurait été ordonné par la magistrate au cours de la procédure préliminaire, relevant en particulier l'absence de plainte et d'audition de la victime. Au vu de ces manquements, le prononcé d'une ordonnance pénale à son encontre démontrerait la prévention de la Procureure à son égard.</w:t>
      </w:r>
    </w:p>
    <w:p>
      <w:r>
        <w:t>Il apparaît cependant que cette argumentation tend, non pas à démontrer une possible prévention de la part de la magistrate ( art. 56 CPP ), mais à plaider le fond de la cause. En utilisant la voie de la récusation pour faire corriger l'ordonnance pénale qui lui est défavorable, le recourant se trompe de moyen (arrêts 1B_200/2014 du 15 juillet 2014 consid. 2.2; 1B_292/2012 du 13 août 2012 consid. 3.2). Il lui appartiendra de faire valoir ses arguments et/ou de déposer ses réquisitions de preuve dans le cadre de la procédure d'opposition, que ce soit devant le Ministère public ( art. 355 CPP ) ou ensuite devant l'autorité de première instance ( art. 356 CPP ). Partant, c'est à juste titre que la juridiction précédente a retenu qu'un prononcé de condamnation - par ailleurs en l'espèce non définitif au regard de l'opposition déposée - ne suffisait pas, à défaut d'autres éléments, à fonder un soupçon de partialité.</w:t>
      </w:r>
    </w:p>
    <w:p>
      <w:r>
        <w:t>Cela permet également d'exclure des violations du droit d'être entendu ou du principe de l'interdiction de l'arbitraire, ainsi qu'un déni de justice de la part de la cour cantonale. En effet, celle-ci, en tant qu'autorité de recours au sens de l' art. 59 al. 1 let. b CPP , n'a pas à se prononcer sur le bien-fondé de l'appréciation effectuée par la Procureure à l'appui de son ordonnance pénale, que ce soit par rapport aux faits retenus dans cette décision (en particulier la vitesse au moment de l'accident) et/ou sur l'opportunité de procéder à des actes d'instruction, ces éléments devant être revus, comme déjà dit, par la Procureure, respectivement l'autorité de première instance.</w:t>
      </w:r>
    </w:p>
    <w:p>
      <w:r>
        <w:rPr>
          <w:b/>
        </w:rPr>
        <w:t>E. 4</w:t>
      </w:r>
    </w:p>
    <w:p>
      <w:r>
        <w:t>Il s'ensuit que le recours est rejeté.</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