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1B_150/2019 vom 21. Mai 2019</w:t>
      </w:r>
    </w:p>
    <w:p>
      <w:r>
        <w:t>Bundesgericht, 2019-05-21, DE</w:t>
      </w:r>
    </w:p>
    <w:p>
      <w:r>
        <w:rPr>
          <w:b/>
        </w:rPr>
        <w:t xml:space="preserve">Quelle: </w:t>
      </w:r>
      <w:r>
        <w:t>https://mcp.opencaselaw.ch/entscheid/bger_1B_150_2019</w:t>
      </w:r>
    </w:p>
    <w:p>
      <w:r>
        <w:t>FR: TF 1B_150/2019 du 21 mai 2019</w:t>
      </w:r>
    </w:p>
    <w:p>
      <w:r>
        <w:t>IT: TF 1B_150/2019 del 21 maggio 2019</w:t>
      </w:r>
    </w:p>
    <w:p>
      <w:pPr>
        <w:pStyle w:val="Heading2"/>
      </w:pPr>
      <w:r>
        <w:t>Erwägungen</w:t>
      </w:r>
    </w:p>
    <w:p>
      <w:r>
        <w:rPr>
          <w:b/>
        </w:rPr>
        <w:t>E. 1.1</w:t>
      </w:r>
    </w:p>
    <w:p>
      <w:r>
        <w:t>Der angefochtene Entscheid schliesst das Strafverfahren gegen den Beschwerdegegner nicht ab. Es handelt sich um einen Zwischenentscheid. Dieser betrifft weder die Zuständigkeit noch den Ausstand. Der angefochtene Entscheid stellt somit einen "anderen Zwischenentscheid" nach Art. 93 BGG dar. Dagegen ist die Beschwerde nach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Der Beschwerdeführer muss, wenn das nicht offensichtlich ist, darlegen, inwiefern die Beschwerde nach Art. 93 Abs. 1 BGG zulässig sein soll. Andernfalls genügt er seiner Begründungspflicht ( Art. 42 Abs. 2 BGG ) nicht und kann auf die Beschwerde nicht eingetreten werden ( BGE 142 III 798 E. 2.2 S. 801; 141 III 395 E. 2.5 S. 399 f.; je mit Hinweisen).</w:t>
      </w:r>
    </w:p>
    <w:p>
      <w:r>
        <w:rPr>
          <w:b/>
        </w:rPr>
        <w:t>E. 1.2</w:t>
      </w:r>
    </w:p>
    <w:p>
      <w:r>
        <w:t>Die Beschwerdeführerin äussert sich nicht dazu, inwiefern die Eintretensvoraussetzungen nach Art. 93 Abs. 1 BGG erfüllt sein sollen. Auf die Beschwerde könnte demnach nur eingetreten werden, wenn das offensichtlich wäre. Dies ist nicht der Fall.</w:t>
      </w:r>
    </w:p>
    <w:p>
      <w:r>
        <w:t>Nach der Rechtsprechung muss es sich beim nicht wieder gutzumachenden Nachteil gemäss Art. 93 Abs. 1 lit. a BGG im Strafrecht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(144 III 475 E. 1.2 S. 479 mit Hinweisen).</w:t>
      </w:r>
    </w:p>
    <w:p>
      <w:r>
        <w:t>Der angefochtene Entscheid führt dazu, dass die Beschwerdeführerin das Strafverfahren entgegen dem, was sie für richtig ansieht, weiterführen muss. Darin liegt nach der Rechtsprechung kein nicht wieder gutzumachender Nachteil rechtlicher Natur (Urteile 1B_314/2011 vom 20. September 2011 E. 2.3; 1B_265/2011 vom 22. Juli 2011 E. 1.4).</w:t>
      </w:r>
    </w:p>
    <w:p>
      <w:r>
        <w:t>Dass hier die Voraussetzungen von Art. 93 Abs. 1 lit. b BGG erfüllt sein könnten, ist nicht erkennbar; dies umso weniger, als diese Bestimmung nach der Rechtsprechung im Strafrecht besonders restriktiv anzuwenden ist ( BGE 133 IV 288 E. 3.2 S. 292). Es kann dahingestellt bleiben, ob die Gutheissung der Beschwerde sofort einen Endentscheid herbeiführen würde. Jedenfalls ist nicht auszumachen, inwiefern damit ein bedeutender Aufwand an Zeit oder Kosten für ein weitläufiges Beweisverfahren erspart werden könnte. Es geht um eine von einer Überwachungskamera aufgezeichnete und von Dritten beobachtete Auseinandersetzung zwischen zwei Personen in einem Restaurant. Die Beweiserhebung dürfte sich deshalb vergleichsweise einfach gestalten.</w:t>
      </w:r>
    </w:p>
    <w:p>
      <w:r>
        <w:t>Auf die Beschwerde kann deshalb nicht eingetreten werden.</w:t>
      </w:r>
    </w:p>
    <w:p>
      <w:r>
        <w:rPr>
          <w:b/>
        </w:rPr>
        <w:t>E. 2</w:t>
      </w:r>
    </w:p>
    <w:p>
      <w:r>
        <w:t>Bei diesem Ausgang des Verfahrens sind keine Gerichtskosten zu erheben ( Art. 66 Abs. 4 BGG ). Der Kanton hat dem Beschwerdegegner eine Parteientschädigung zu bezahlen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