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1B_14/2016 vom 2. Februar 2016</w:t>
      </w:r>
    </w:p>
    <w:p>
      <w:r>
        <w:t>Bundesgericht, 2016-02-02, FR</w:t>
      </w:r>
    </w:p>
    <w:p>
      <w:r>
        <w:rPr>
          <w:b/>
        </w:rPr>
        <w:t xml:space="preserve">Quelle: </w:t>
      </w:r>
      <w:r>
        <w:t>https://mcp.opencaselaw.ch/entscheid/bger_1B_14_2016</w:t>
      </w:r>
    </w:p>
    <w:p>
      <w:r>
        <w:t>FR: TF 1B_14/2016 du 2 février 2016</w:t>
      </w:r>
    </w:p>
    <w:p>
      <w:r>
        <w:t>IT: TF 1B_14/2016 del 2 febbraio 2016</w:t>
      </w:r>
    </w:p>
    <w:p>
      <w:pPr>
        <w:pStyle w:val="Heading2"/>
      </w:pPr>
      <w:r>
        <w:t>Erwägungen</w:t>
      </w:r>
    </w:p>
    <w:p>
      <w:r>
        <w:rPr>
          <w:b/>
        </w:rPr>
        <w:t>E. 1</w:t>
      </w:r>
    </w:p>
    <w:p>
      <w:r>
        <w:t>Le recours est dirigé contre une décision d'irrecevabilité prise en dernière instance cantonale; sur le fond, la contestation porte sur la récusation d'un magistrat pénal. Le recours est dès lors recevable comme recours en matière pénale selon les art. 78 et 92 al. 1 LTF . La recourante, dont la demande de récusation a été rejetée, a qualité pour agir ( art. 81 al. 1 LTF ). Les conclusions tendant à l'annulation de la décision attaquée et au renvoi de la cause pour jugement au fond sont recevables.</w:t>
      </w:r>
    </w:p>
    <w:p>
      <w:r>
        <w:rPr>
          <w:b/>
        </w:rPr>
        <w:t>E. 2</w:t>
      </w:r>
    </w:p>
    <w:p>
      <w:r>
        <w:t>Conformément à l' art. 58 al. 1 CPP , la récusation doit être demandée sans délai, dès que la partie a connaissance du motif de récusation, sous peine de déchéance ( ATF 138 I 1 consid. 2.2 p. 4). Il est en effet contraire aux règles de la bonne foi de garder ce moyen en réserve pour ne l'invoquer qu'en cas d'issue défavorable ou lorsque l'intéressé se serait rendu compte que l'instruction ne suivait pas le cours désiré ( ATF 139 III 120 consid. 3.2.1 p. 124). Dans la règle, la partie doit agir, au plus tard, dans les six à sept jours. En tous les cas, une demande de récusation formulée deux à trois semaines après que la partie a eu connaissance du motif de récusation est tardive (arrêt 6B_388/2015 du 22 juin 2015 consid. 1.1 et les références citées).</w:t>
      </w:r>
    </w:p>
    <w:p>
      <w:r>
        <w:rPr>
          <w:b/>
        </w:rPr>
        <w:t>E. 3</w:t>
      </w:r>
    </w:p>
    <w:p>
      <w:r>
        <w:t>Le conseil de la recourante ne conteste pas que la demande de récusation doit être formulée sans délai ni que les motifs de récusation lui étaient connus au plus tard à réception de la communication de fin d'enquête. Il ne prétend pas que des renseignements ou vérifications complémentaires s'imposaient. Il considère en revanche qu'il était nécessaire de s'assurer au préalable du consentement des membres du Conseil municipal avant de déposer sa requête de récusation faute de quoi il pouvait s'exposer à devoir prendre en charge les frais y relatifs. Un délai de trois semaines serait usuel pour ce faire. Il en veut pour preuve le fait que le Conseil municipal n'a pas pu se réunir avant le 6 janvier 2016 pour décider de déférer l'ordonnance attaquée auprès du Tribunal fédéral.</w:t>
      </w:r>
    </w:p>
    <w:p>
      <w:r>
        <w:t>La recourante ne précise pas à quelle fréquence elle se réunit pour débattre des affaires communales. Peu importe car on peut en effet raisonnablement exiger des membres d'un collège municipal qu'ils se réunissent rapidement, voire en urgence, pour décider d'une démarche qui doit impérativement être prise dans un délai très court sous peine de péremption. Il n'est pas rare que des recours doivent être formés dans des délais relativement brefs et les collectivités publiques doivent prendre leurs dispositions pour être en mesure de le faire à temps. En l'occurrence, un laps de temps de près de trois semaines pour recueillir l'aval de la Commune et déposer une demande de récusation qui doit, selon la loi, l'être sans délai dès la connaissance du motif de prévention pouvait sans arbitraire être tenu pour excessif. Par ailleurs, sous peine de violer le principe d'égalité des armes, il n'y a pas lieu de se montrer moins rigoureux à l'égard d'une collectivité publique qu'à l'égard d'un particulier dont une demande de récusation, déposée dans des circonstances identiques, aurait été jugée manifestement tardive.</w:t>
      </w:r>
    </w:p>
    <w:p>
      <w:r>
        <w:t>Partant, le Président de la Chambre pénale n'a pas violé le droit fédéral en retenant que la demande de récusation n'avait pas été déposée " sans délai " au sens de l' art. 58 al. 1 CPP et en la déclarant irrecevable.</w:t>
      </w:r>
    </w:p>
    <w:p>
      <w:r>
        <w:rPr>
          <w:b/>
        </w:rPr>
        <w:t>E. 4</w:t>
      </w:r>
    </w:p>
    <w:p>
      <w:r>
        <w:t>Le recours doit par conséquent être rejeté aux frais de la recourante qui succombe ( art. 65 et 66 al. 1 LTF ). La disposition de l' art. 66 al. 4 LTF ne s'applique pas en l'occurrence car si la Commune agit dans l'exercice de ses attributions officielles, elle n'en défend pas moins principalement un intérêt patrimonial dans la procédure pénale en cours (cf. en ce sens, arrêts 6B_90/2014 du 29 janvier 2015 consid. 7 et 6B_81/2009 du 30 juin 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