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14/2015 vom 4. Mai 2015</w:t>
      </w:r>
    </w:p>
    <w:p>
      <w:r>
        <w:t>Bundesgericht, 2015-05-04, FR</w:t>
      </w:r>
    </w:p>
    <w:p>
      <w:r>
        <w:rPr>
          <w:b/>
        </w:rPr>
        <w:t xml:space="preserve">Quelle: </w:t>
      </w:r>
      <w:r>
        <w:t>https://mcp.opencaselaw.ch/entscheid/bger_1B_14_2015</w:t>
      </w:r>
    </w:p>
    <w:p>
      <w:r>
        <w:t>FR: TF 1B 14/2015 du 4 mai 2015</w:t>
      </w:r>
    </w:p>
    <w:p>
      <w:r>
        <w:t>IT: TF 1B 14/2015 del 4 maggio 2015</w:t>
      </w:r>
    </w:p>
    <w:p>
      <w:pPr>
        <w:pStyle w:val="Heading2"/>
      </w:pPr>
      <w:r>
        <w:t>Regeste</w:t>
      </w:r>
    </w:p>
    <w:p>
      <w:r>
        <w:t>procédure pénale, suspension de l'instruction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L'ordonnance attaquée, qui confirme la suspension de la procédure pénale jusqu'à droit jugé sur une opposition à une ordonnance pénale rendue dans le canton de Vaud, ne met pas fin à la procédure pénale ouverte en Valais contre le recourant et revêt ainsi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les faits à l'appui de la recevabilité de son recours et d'établir la possibilité que la décision préjudicielle ou incidente lui cause un tel dommage, à moins que celui-ci ne fasse d'emblée aucun doute ( ATF 141 IV 1 consid. 1.1 et les arrêts cités).</w:t>
      </w:r>
    </w:p>
    <w:p>
      <w:r>
        <w:rPr>
          <w:b/>
        </w:rPr>
        <w:t>E. 1.2</w:t>
      </w:r>
    </w:p>
    <w:p>
      <w:r>
        <w:t>Selon la jurisprudence, une décision de suspension de la procédure peut causer un dommage irréparable au justiciable qui se plaint, pour cette raison, d'un retard injustifié à statuer sur le fond constitutif d'un déni de justice formel ( ATF 138 IV 258 consid. 1.1 p. 261; 134 IV 43 consid. 2.2-2.4 p. 45). Il faut toutefois que le grief soit suffisamment motivé et fasse apparaître un risque sérieux de violation du principe de célérité ( ATF 138 III 190 consid. 6).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LTF ( ATF 134 IV 43 consid. 2.5 p. 47).</w:t>
      </w:r>
    </w:p>
    <w:p>
      <w:r>
        <w:rPr>
          <w:b/>
        </w:rPr>
        <w:t>E. 1.3</w:t>
      </w:r>
    </w:p>
    <w:p>
      <w:r>
        <w:t>En l'espèce, le Ministère public a suspendu la procédure un mois environ après réception de la nouvelle dénonciation du SCC. A ce stade, aucun déni de justice ne pouvait être reproché au Ministère public; il en va de même actuellement. La suspension est prononcée non pas sine die, mais dans l'attente d'une décision sur l'opposition formée à l'ordonnance pénale prononcée par le Ministère public vaudois. Le SCC a d'ailleurs indiqué qu'il retirerait son opposition s'il était précisé que l'ordonnance pénale couvrait également les aspects communaux et cantonaux; il n'y a dès lors pas lieu de craindre un retard dans le traitement de l'opposition. Le recourant, qui invoque pourtant le principe de célérité, ne se plaint d'ailleurs pas d'un retard concret dans la procédure pénale. Il y a donc lieu de rechercher si l'ordonnance attaquée est susceptible de causer au recourant un préjudice irréparable.</w:t>
      </w:r>
    </w:p>
    <w:p>
      <w:r>
        <w:rPr>
          <w:b/>
        </w:rPr>
        <w:t>E. 1.4</w:t>
      </w:r>
    </w:p>
    <w:p>
      <w:r>
        <w:t>Tel n'est pas le cas. Le recourant estime que le Procureur valaisan devrait statuer sans attendre sur la question de sa compétence et du respect du principe "ne bis in idem". Si le magistrat devait statuer favorablement au recourant sur ces points, il n'y aurait alors plus de préjudice pour ce dernier. Contrairement à ce que soutient le recourant, la décision attaquée a précisément pour but d'éviter des décisions contradictoires ou des conflits, négatifs ou positifs, de compétence. On ne voit pas, sur ce point non plus, en quoi pourrait consister le préjudice irréparable.</w:t>
      </w:r>
    </w:p>
    <w:p>
      <w:r>
        <w:rPr>
          <w:b/>
        </w:rPr>
        <w:t>E. 2</w:t>
      </w:r>
    </w:p>
    <w:p>
      <w:r>
        <w:t>Il s'ensuit que le recours est irrecevable.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