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149/2018 vom 11. April 2018</w:t>
      </w:r>
    </w:p>
    <w:p>
      <w:r>
        <w:t>Bundesgericht, 2018-04-11, FR</w:t>
      </w:r>
    </w:p>
    <w:p>
      <w:r>
        <w:rPr>
          <w:b/>
        </w:rPr>
        <w:t xml:space="preserve">Quelle: </w:t>
      </w:r>
      <w:r>
        <w:t>https://mcp.opencaselaw.ch/entscheid/bger_1B_149_2018</w:t>
      </w:r>
    </w:p>
    <w:p>
      <w:r>
        <w:t>FR: TF 1B 149/2018 du 11 avril 2018</w:t>
      </w:r>
    </w:p>
    <w:p>
      <w:r>
        <w:t>IT: TF 1B 149/2018 del 11 aprile 2018</w:t>
      </w:r>
    </w:p>
    <w:p>
      <w:pPr>
        <w:pStyle w:val="Heading2"/>
      </w:pPr>
      <w:r>
        <w:t>Regeste</w:t>
      </w:r>
    </w:p>
    <w:p>
      <w:r>
        <w:t>détention pour des motifs de sûreté | Procédure pénale</w:t>
      </w:r>
    </w:p>
    <w:p>
      <w:pPr>
        <w:pStyle w:val="Heading2"/>
      </w:pPr>
      <w:r>
        <w:t>Erwägungen</w:t>
      </w:r>
    </w:p>
    <w:p>
      <w:r>
        <w:rPr>
          <w:b/>
        </w:rPr>
        <w:t>E. 1</w:t>
      </w:r>
    </w:p>
    <w:p>
      <w:r>
        <w:t>Selon l' art. 78 LTF , le recours en matière pénale est ouvert contre les décisions rendues en matière pénale, dont font partie les décisions relatives à la détention pour des motifs de sûreté. Selon l'art. 81 al. 1 let. a et b ch. 1 LTF, le condamné - actuellement détenu - a qualité pour agir. Pour le surplus, le recours a été formé en temps utile ( art. 100 al. 1 LTF ) contre une décision rendue en dernière instance cantonale ( art. 80 LTF ) et les conclusions qui y sont prises sont recevables ( art. 107 al. 2 LTF ). Partant, il y a lieu d'entrer en matière.</w:t>
      </w:r>
    </w:p>
    <w:p>
      <w:r>
        <w:rPr>
          <w:b/>
        </w:rPr>
        <w:t>E. 2</w:t>
      </w:r>
    </w:p>
    <w:p>
      <w:r>
        <w:t>Dans son écriture, le recourant se plaint d'un déni de justice en tant que l'instance précédente n'aurait pas traité son grief tiré de l'illégalité des conditions de sa détention. Il fait valoir que l'exécution de sa détention dans un établissement de détention provisoire ne serait pas conforme au trouble dont il souffrirait. Il invoque également une violation du principe "ne bis in idem".</w:t>
      </w:r>
    </w:p>
    <w:p>
      <w:r>
        <w:rPr>
          <w:b/>
        </w:rPr>
        <w:t>E. 2.1</w:t>
      </w:r>
    </w:p>
    <w:p>
      <w:r>
        <w:t>L' art. 65 al. 2 CP prévoit que si, pendant l'exécution de la peine privative de liberté, des faits ou des moyens de preuve nouveaux permettent d'établir qu'un condamné remplit les conditions de l'internement et que ces conditions étaient déjà remplies au moment du jugement sans que le juge ait pu en avoir connaissance, le juge peut ordonner l'internement ultérieurement. La compétence et la procédure sont déterminées par les règles sur la révision. Durant cette procédure de changement de sanction en défaveur du condamné, celui-ci peut être placé en détention pour des motifs de sûreté; les art. 221 et 229 ss CPP sont appliqués par analogie (cf. ATF 137 IV 333 consid. 2.2.2 p. 336; arrêt 1B_375/2015 du 12 novembre 2015 consid. 2.2). A teneur de l' art. 221 al. 1 let . c CPP, la détention pour des motifs de sûreté ne peut être ordonnée que lorsque le prévenu est fortement soupçonné d'avoir commis un crime ou un délit et qu'il y a sérieusement lieu de craindre qu'il compromette sérieusement la sécurité d'autrui par des crimes ou des délits graves après avoir déjà commis des infractions du même genre. Selon la jurisprudence, pour prononcer ou ordonner la continuation de la détention pour des motifs de sûreté, dans le cadre d'une procédure de changement de sanction au sens de l' art. 65 al. 2 CP , il n'est pas nécessaire de prouver l'existence de fort soupçon dès lors qu'il existe déjà un jugement de condamnation entré en force. En revanche, il convient d'établir que le prononcé d'une mesure institutionnelle ou d'un internement de l'intéressé est vraisemblable et qu'un motif de détention particulier existe ( ATF 137 IV 333 consid. 2.3.1 p. 337; arrêt 1B_548/2017 du 29 janvier 2018 consid. 3.2 et 3.3).</w:t>
      </w:r>
    </w:p>
    <w:p>
      <w:r>
        <w:rPr>
          <w:b/>
        </w:rPr>
        <w:t>E. 2.2</w:t>
      </w:r>
    </w:p>
    <w:p>
      <w:r>
        <w:t>Dans l'arrêt entrepris, la cour cantonale a confirmé le maintien du recourant en détention pour des motifs de sûreté durant la procédure pendante de changement de sanction selon l' art. 65 al. 2 CP . Elle a, sur la base de l'expertise psychiatrique du 16 décembre 2016 et des antécédents de l'intéressé, considéré que ce dernier présentait un risque de récidive élevé d'infractions graves, en particulier des actes dirigés contre l'intégrité physique, et que le prononcé d'un internement apparaissait vraisemblable. L'instance précédente soulignait que l'expert psychiatre avait posé le diagnostic de personnalité dyssociale sévère et de psychopathie; celui-ci avait également retenu qu'en lien avec sa pathologie, il était sérieusement à craindre que l'expertisé commette d'autres infractions particulièrement graves; il a ajouté qu'il n'existait aucun moyen thérapeutique pour favoriser un changement de fonctionnement psychique de l'expertisé, étant donné la nature même du trouble de la personnalité dont il souffrait et son refus de se remettre en question. Le recourant ne remet pas en cause cette appréciation. Il ne conteste en effet pas que les conditions matérielles justifiant son maintien en détention pour des motifs de sûreté sont réunies. Il critique en revanche les conditions actuelles de sa détention qui ne seraient pas compatibles avec l'exécution d'une mesure d'internement. Ce faisant, le recourant méconnaît que la présente procédure est restreinte à la question de son maintien en détention pour des motifs de sûreté selon l' art. 221 CPP : il s'agit d'examiner si l'internement est vraisemblable et s'il existe un motif de détention. Le prononcé éventuel d'une mesure d'internement doit encore faire l'objet d'un examen par le juge du fond, de sorte que la question du constat de l'illicéité des conditions de sa détention est prématurée. C'est dès lors en vain que le recourant se plaint d'un déni de justice en tant que l'instance précédente n'aurait pas statué sur ce point. Pour ce même motif, apparaît prématurée la question de la violation du principe "ne bis in idem", étant néanmoins relevé que l' art. 65 al. 2 CP permet expressément, à certaines conditions, le prononcé ultérieur d'une sanction plus sévère pour les actes déjà jugés (cf. DUPUIS ET AL., Petit Commentaire, Code pénal, 2 ème éd. 2017, n° 8 ad art. 65 CP et les réf.). Par ailleurs, contrairement à ce que soutient le recourant, la demande de révision du jugement déposée le 4 juillet 2017 n'est pas tardive. En effet, la fin de l'exécution de la peine globale résultant des différentes condamnations dont le recourant a fait l'objet, soit en l'occurrence au 4 janvier 2018, n'était pas achevée au moment du dépôt de la demande de révision (cf. ATF 137 IV 59 consid. 3).</w:t>
      </w:r>
    </w:p>
    <w:p>
      <w:r>
        <w:rPr>
          <w:b/>
        </w:rPr>
        <w:t>E. 3</w:t>
      </w:r>
    </w:p>
    <w:p>
      <w:r>
        <w:t>Le recours doit être rejeté dans la mesure où il est recevable. Comme les conclusions étaient vouées à l'échec, l'assistance judiciaire ne peut être accordée ( art. 64 al. 1 LTF ). Le recourant, qui succombe, devra donc supporter les frais judiciaires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