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1B_149/2013 vom 5. September 2013</w:t>
      </w:r>
    </w:p>
    <w:p>
      <w:r>
        <w:t>Bundesgericht, 2013-09-05, FR</w:t>
      </w:r>
    </w:p>
    <w:p>
      <w:r>
        <w:rPr>
          <w:b/>
        </w:rPr>
        <w:t xml:space="preserve">Quelle: </w:t>
      </w:r>
      <w:r>
        <w:t>https://mcp.opencaselaw.ch/entscheid/bger_1B_149_2013</w:t>
      </w:r>
    </w:p>
    <w:p>
      <w:r>
        <w:t>FR: TF 1B_149/2013 du 5 septembre 2013</w:t>
      </w:r>
    </w:p>
    <w:p>
      <w:r>
        <w:t>IT: TF 1B_149/2013 del 5 settembre 2013</w:t>
      </w:r>
    </w:p>
    <w:p>
      <w:pPr>
        <w:pStyle w:val="Heading2"/>
      </w:pPr>
      <w:r>
        <w:t>Erwägungen</w:t>
      </w:r>
    </w:p>
    <w:p>
      <w:r>
        <w:rPr>
          <w:b/>
        </w:rPr>
        <w:t>E. 1</w:t>
      </w:r>
    </w:p>
    <w:p>
      <w:r>
        <w:t>A titre préalable, le recourant requiert la suspension de la procédure jusqu'à droit connu sur la demande déposée le 17 avril 2013 auprès du Ministère public. Toutefois, compte tenu de l'issue du présent recours et du principe de célérité, les procédures fédérales et cantonales peuvent être menées de manière indépendante. Partant, la requête de suspension est rejetée.</w:t>
      </w:r>
    </w:p>
    <w:p>
      <w:r>
        <w:rPr>
          <w:b/>
        </w:rPr>
        <w:t>E. 2.1</w:t>
      </w:r>
    </w:p>
    <w:p>
      <w:r>
        <w:t>Le recours est dirigé contre une décision prise en dernière instance cantonale dans le cadre de la contestation d'une ordonnance du Ministère public refusant (1) de procéder à différentes réquisitions de preuve au cours de la procédure pénale ouverte à l'encontre de l'intimée, ainsi que (2) de dénier la capacité de postuler à l'avocat de cette dernière. Le recours est dès lors en principe recevable comme recours en matière pénale au sens des art. 78 ss LTF (cf. notamment arrêt 1B_420/2011 du 21 novembre 2011 consid. 1.1).</w:t>
      </w:r>
    </w:p>
    <w:p>
      <w:r>
        <w:rPr>
          <w:b/>
        </w:rPr>
        <w:t>E. 2.2</w:t>
      </w:r>
    </w:p>
    <w:p>
      <w:r>
        <w:t>Conformément à l' art. 100 al. 1 LTF , le recours doit être déposé devant le Tribunal fédéral dans les trente jours qui suivent la notification de l'expédition complète de la décision attaquée. Ce délai est suspendu du septième jour avant Pâques au septième jour après Pâques inclus ( art. 46 al. 1 let. a LTF ). Cette suspension n'est cependant pas applicable aux causes portant notamment sur d'autres mesures provisionnelles au sens de l' art. 46 al. 2 LTF . Sont considérées comme telles, en particulier dans l'intérêt de la célérité de la procédure, les décisions incidentes de procédure pénale concernant les séquestres ou les saisies d'objets, de biens ou de valeurs patrimoniales ( ATF 138 IV 186 consid. 1.2 p. 188 s. et les références citées).</w:t>
      </w:r>
    </w:p>
    <w:p>
      <w:r>
        <w:t>L'arrêt entrepris a été notifié le jeudi 28 février 2013 au recourant. Dès lors qu'il conteste la décision d'irrecevabilité rendue par le Juge unique concernant le refus du séquestre du dossier, des factures et de la "timesheet" de D.________, le recours sur ce point devait être déposé, sous peine de tardiveté, au plus tard le mardi 2 avril 2013 (art. 100 al. 1, 46 al. 2, 45 al. 1 LTF, 18 de la loi du 11 février 2009 d'application du code de procédure pénale suisse [LACPP; RS/VS 312.0] et 37 let. c de la loi du 11 février 2009 sur l'organisation de la justice [LOJ; RS/VS 173.1]). Le recours n'ayant été remis à une poste suisse que le lundi 15 avril 2013, il ne peut dès lors être entré en matière sur cette question.</w:t>
      </w:r>
    </w:p>
    <w:p>
      <w:r>
        <w:t>Pour le surplus, le recours a été déposé en temps utile (art. 100 al. 1 et 46 al. 1 let. a LTF); il n'est en particulier pas nécessaire de déterminer si la demande de production du relevé des appels téléphoniques pourrait être aussi considérée - vu son caractère conservatoire au regard de la possibilité limitée dans le temps de l'obtenir - comme une autre mesure provisionnelle au sens de l' art. 46 al. 2 LTF (cf. consid. 2.4.1).</w:t>
      </w:r>
    </w:p>
    <w:p>
      <w:r>
        <w:rPr>
          <w:b/>
        </w:rPr>
        <w:t>E. 2.3</w:t>
      </w:r>
    </w:p>
    <w:p>
      <w:r>
        <w:t>Aux termes de l' art. 81 al. 1 let. b LTF , la qualité pour former un recours en matière pénale est reconnue à quiconque a un intérêt juridique à l'annulation ou à la modification de la décision attaquée. Le droit de recourir au Tribunal fédéral suppose l'existence d'un intérêt actuel et pratique à obtenir l'annulation de la décision litigieuse, respectivement à l'examen des griefs soulevés ( ATF 137 I 296 consid. 4.2 p. 299; 137 IV 87 consid. 1 p. 88). De plus, lorsque le recours est dirigé, comme en l'espèce, contre une décision incidente refusant des réquisitions de preuve (arrêt 1B_189/2012 du 17 août 2012 consid. 1.1 in SJ 2013 I 90) et rejetant la demande de mettre un terme au mandat de l'avocat de l'intimée (arrêt 1B_420/2011 du 21 novembre 2011 consid. 1.2), il n'est recevable que si cette décision peut causer un préjudice irréparable à son destinataire ( art. 93 al. 1 let. a LTF ) ou si l'admission du recours peut conduire immédiatement à une décision finale qui permet d'éviter une procédure probatoire longue et coûteuse ( art. 93 al. 1 let. b LTF ), cette seconde hypothèse n'étant manifestement pas réalisée en l'occurrence. Dans la procédure de recours en matière pénale, un préjudice irréparable se rapporte à un dommage de nature juridique qui ne puisse pas être réparé ultérieurement par un jugement final ou une autre décision favorable au recourant ( ATF 137 IV 172 consid. 2.1 p. 173 s.; 136 IV 92 consid. 4 p. 95; 134 I 83 consid. 3.1 p. 86 s.; 133 IV 335 consid. 4 p. 338; 133 IV 139 consid. 4 p. 141).</w:t>
      </w:r>
    </w:p>
    <w:p>
      <w:r>
        <w:t>En vertu de l' art. 42 al. 1 LTF , il incombe au recourant d'alléguer les faits qu'il considère comme propres à fonder sa qualité pour recourir ( ATF 138 IV 86 consid. 3 p. 88 et les arrêts cités) et ceux permettant de démontrer l'existence d'un préjudice irréparable lorsque celui-ci n'est pas d'emblée évident ( ATF 138 III 46 consid. 1.2 p. 47 et les arrêts cités).</w:t>
      </w:r>
    </w:p>
    <w:p>
      <w:r>
        <w:rPr>
          <w:b/>
        </w:rPr>
        <w:t>E. 2.4</w:t>
      </w:r>
    </w:p>
    <w:p>
      <w:r>
        <w:t>En l'occurrence, le recourant, partie plaignante, fait uniquement mention de l'art. 81 al. 1 let. b ch. 1 LTF - disposition relative au prévenu - pour établir sa qualité pour recourir. Il n'indique en outre pas quel serait le préjudice irréparable qui pourrait résulter de la décision cantonale. Vu l'absence de toute motivation, la recevabilité du recours paraît d'ores et déjà douteuse à ce stade.</w:t>
      </w:r>
    </w:p>
    <w:p>
      <w:r>
        <w:rPr>
          <w:b/>
        </w:rPr>
        <w:t>E. 2.4.1</w:t>
      </w:r>
    </w:p>
    <w:p>
      <w:r>
        <w:t>En ce qui concerne la question de la demande de relevé des appels entrants et sortants de la ligne téléphonique, le recourant a déposé sa première requête dans ce sens dans son courrier du 16 octobre 2012 pour la période "du 30 septembre 2010 au 7 mars 2012". Selon l'article 15 al. 3 de la loi fédérale du 6 octobre 2000 sur la surveillance de la correspondance par poste et télécommunication (LSCPT; RS 780.1), les fournisseurs de services de télécommunication sont tenus de conserver durant six mois les données permettant l'identification des usagers ainsi que les données relatives au trafic et à la facturation. Quant au jugement cantonal, il en ressort qu'il est possible, sur décision judiciaire, d'obtenir de Swisscom la liste des appels émis de l'année écoulée, respectivement des six derniers mois pour les appels entrants, constatations que le recourant ne critique pas.</w:t>
      </w:r>
    </w:p>
    <w:p>
      <w:r>
        <w:t>En conséquence et même dans l'hypothèse la plus favorable pour le recourant, dès le 7 mars 2013 (le 7 septembre 2012 en application de la LSCPT), cette mesure ne pouvait déjà plus être mise en oeuvre, cela indépendamment de toute pertinence de ce moyen de preuve dans le cadre de la procédure pénale en cours. Le recourant ne l'ignore d'ailleurs pas, puisqu'il n'a pas réitéré cette demande, au contraire de toutes les autres, dans son courrier du 17 avril 2013 au Ministère public. Partant, il n'y a pas lieu d'entrer en matière sur cette question, faute d'intérêt juridique actuel du recourant à la modification de la décision cantonale sur ce point.</w:t>
      </w:r>
    </w:p>
    <w:p>
      <w:r>
        <w:t>Au demeurant et ainsi que l'a retenu le Juge unique, les possibles contacts entre l'intimée et D.________, ainsi que la fréquence de ceux-ci ne permettent pas, prima facie, de démontrer la thèse d'une éventuelle escroquerie ( art. 146 CP ), faute notamment d'astuce dans le comportement adopté par l'intimée. En effet, celle-ci n'a eu cesse de remettre constamment en cause la convention sur les effets accessoires du divorce, puis la clause relative au droit d'habitation (comme en attestent les quatre projets de convention, la contestation lors l'audience du juge civil de celle signée et produite avec la requête commune de divorce, puis la modification de la clause devant l'autorité, l'invocation dès le lendemain de cette audience d'une erreur essentielle sur ce point et l'appel contre le jugement de divorce), ce que le recourant - qui a participé tant à l'élaboration de ladite convention qu'à l'audience civile du 29 février 2012 - n'a pu manquer de remarquer.</w:t>
      </w:r>
    </w:p>
    <w:p>
      <w:r>
        <w:rPr>
          <w:b/>
        </w:rPr>
        <w:t>E. 2.4.2</w:t>
      </w:r>
    </w:p>
    <w:p>
      <w:r>
        <w:t>Le recourant demande ensuite que la capacité de postuler de D.________ lui soit déniée dans la procédure pénale. Le recourant soutient, en se référant à l'ordonnance civile du 11 avril 2013 ordonnant l'audition de D.________ en tant que témoin et la production de ses dossiers dans la cause civile, qu'un conflit pourrait exister dans la procédure pénale entre les intérêts de D.________ et ceux de sa mandante, soit l'intimée. Selon le recourant, la seconde pourrait se défendre en soutenant que la stratégie suivie dans la procédure civile (allégation d'une erreur essentielle en raison de contraintes physiques et psychiques de la part de son ex-mari) lui aurait été conseillée par son avocat. Quant à ce dernier, il pourrait tenter de se disculper en rejetant la faute sur sa cliente.</w:t>
      </w:r>
    </w:p>
    <w:p>
      <w:r>
        <w:t>Selon l'art. 12 de la loi fédérale du 23 juin 2000 sur la libre circulation des avocats (LLCA; RS 935.61), l'avocat exerce son activité professionnelle en toute indépendance, en son nom personnel et sous sa propre responsabilité (let. b) et il évite tout conflit entre les intérêts de son client et ceux des personnes avec lesquels il est en relation sur le plan professionnel ou privé (let. c). Même si cela ne ressort pas explicitement du texte légal, il est incontesté que l' art. 12 let . c LLCA impose aussi d'éviter les conflits entre les propres intérêts de l'avocat et ceux de ses clients (arrêt 2C_889/2008 du 21 juillet 2009 consid. 3.1.3; François Bohnet, Les grands arrêts de la profession d'avocats, 2ème éd., Neuchâtel 2010, p. 179 ss; Michel Valticos, Commentaire romand, Loi sur les avocats, Bâle 2010, no 179 ad art. 12 LLCA ). Quant à l'intervention d'un avocat dans une cause où il pourrait être appelé à témoigner, elle peut se révéler problématique par rapport à son obligation d'indépendance et à son devoir d'éviter les conflits d'intérêts, dès lors que son intervention à double titre dans une même procédure peut l'empêcher de se concentrer exclusivement sur les intérêts de son client. Mais même dans cette éventualité, l'obligation de renoncer au mandat n'est pas absolue, notamment si le témoignage ne porte que sur des faits accessoires, insignifiants ou non contestés (François Bohnet/Vincent Martenet, Droit de la profession d'avocat, Berne 2009, no 3194).</w:t>
      </w:r>
    </w:p>
    <w:p>
      <w:r>
        <w:t>Si un conflit d'intérêts surgit, il appartient à l'avocat de mettre fin au (x) mandat (s), quand bien même la ou les parties auraient exprimé leur consentement à la poursuite de la représentation (Michel Valticos, op. cit., no 184 ad art. 12 LLCA ). Hormis les cas où le conflit d'intérêts est dénoncé par les clients ou les anciens mandants de l'avocat, la constatation du conflit peut être soulevée par une autorité judiciaire ou par les autorités disciplinaires ( ATF 138 II 162 consid. 2.5.1 p. 167; Michel Valticos, op. cit., no 186 ad art. 12 LLCA ). Le Tribunal fédéral a en particulier reconnu la capacité d'agir du justiciable qui se trouve privé de l'avocat de son choix en raison de l'interdiction de plaider rendue à l'encontre de son mandataire, ainsi qu'à la partie qui se retrouve face à un ancien conseil en raison de la décision concluant à l'absence de conflit d'intérêts ( ATF 138 II 162 consid. 2 p. 164 ss).</w:t>
      </w:r>
    </w:p>
    <w:p>
      <w:r>
        <w:t>En l'espèce, le recourant ne prétend pas être lui-même dans une situation similaire à celles susmentionnées. Les risques résultant de l'éventuel conflit d'intérêts et invoqués à l'appui de sa demande ne viennent ni péjorer sa propre position, ni entraver ses droits de partie. Cela vaut d'autant plus que l'instruction pénale n'est pas terminée et que l'autorité en charge de celle-ci peut d'office et en tout temps constater l'incapacité de postuler d'un mandataire professionnel. Sauf à vouloir défendre les droits de l'intimée ou de D.________, il apparaît que le recourant n'a aucun intérêt propre à l'annulation ou à la modification de la décision attaquée ( art. 81 al. 1 let. b LTF ).</w:t>
      </w:r>
    </w:p>
    <w:p>
      <w:r>
        <w:rPr>
          <w:b/>
        </w:rPr>
        <w:t>E. 3</w:t>
      </w:r>
    </w:p>
    <w:p>
      <w:r>
        <w:t>Il s'ensuit que le recours est irrecevable. Le recourant qui succombe supporte les frais de la présente procédure ( art. 66 al. 1 LTF ). L'intimée, qui obtient gain de cause devant le Tribunal fédéral avec l'assistance d'un avocat, a droit à des dépens à la charge du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