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1B_148/2010 vom 25. Mai 2010</w:t>
      </w:r>
    </w:p>
    <w:p>
      <w:r>
        <w:t>Bundesgericht, 2010-05-25, DE</w:t>
      </w:r>
    </w:p>
    <w:p>
      <w:r>
        <w:rPr>
          <w:b/>
        </w:rPr>
        <w:t xml:space="preserve">Quelle: </w:t>
      </w:r>
      <w:r>
        <w:t>https://mcp.opencaselaw.ch/entscheid/bger_1B_148_2010</w:t>
      </w:r>
    </w:p>
    <w:p>
      <w:r>
        <w:t>FR: TF 1B_148/2010 du 25 mai 2010</w:t>
      </w:r>
    </w:p>
    <w:p>
      <w:r>
        <w:t>IT: TF 1B_148/2010 del 25 maggio 2010</w:t>
      </w:r>
    </w:p>
    <w:p>
      <w:pPr>
        <w:pStyle w:val="Heading2"/>
      </w:pPr>
      <w:r>
        <w:t>Erwägungen</w:t>
      </w:r>
    </w:p>
    <w:p>
      <w:r>
        <w:rPr>
          <w:b/>
        </w:rPr>
        <w:t>E. 1</w:t>
      </w:r>
    </w:p>
    <w:p>
      <w:r>
        <w:t>Der angefochtene Entscheid betrifft ein Strafverfahren und stützt sich auf kantonales Strafprozessrecht. Damit ist gemäss Art. 78 Abs. 1 BGG die Beschwerde in Strafsachen gegeben.</w:t>
      </w:r>
    </w:p>
    <w:p>
      <w:r>
        <w:rPr>
          <w:b/>
        </w:rPr>
        <w:t>E. 2</w:t>
      </w:r>
    </w:p>
    <w:p>
      <w:r>
        <w:t>Gemäss Dispositiv-Ziff. 2 der Verfügung der Haftrichterin des Bezirks Bülach vom 11. Mai 2010 ist der Antrag um vorzeitigen Strafantritt im kantonalen haftrichterlichen Verfahren GH100064 hängig. Der Antrag wird somit - wie von der Staatsanwaltschaft im angefochtenen Entscheid in Aussicht gestellt - zunächst von der zuständigen Haftrichterin beurteilt (vgl. BGE 133 I 270 E. 3.2.2 S. 278 f.). Dieser Entscheid wird die hier angefochtene Verweigerung des vorzeitigen Strafantritts durch die Staatsanwaltschaft ersetzen. Der Beschwerdeführer hat die Möglichkeit, Rechtsmittel gegen die Beurteilung durch die Haftrichterin einzureichen. Die vorliegende Beschwerde, in welcher ebenfalls der vorzeitige Strafantritt verlangt wird, erweist sich als gegenstandslos, da der vorzeitige Strafantritt zurzeit Gegenstand des kantonalen Verfahrens bildet. Das bundesgerichtliche Verfahren ist somit nach Art. 71 BGG in Verbindung mit Art. 72 BZP als erledigt abzuschreiben (vgl. BGE 118 Ia 488 E. 1a S. 490 und E. 3c S. 494).</w:t>
      </w:r>
    </w:p>
    <w:p>
      <w:r>
        <w:rPr>
          <w:b/>
        </w:rPr>
        <w:t>E. 3</w:t>
      </w:r>
    </w:p>
    <w:p>
      <w:r>
        <w:t>Ist eine Beschwerde vor Bundesgericht gegenstandslos geworden, so ist nach Art. 72 BZP in Verbindung mit Art. 71 BGG über die Prozesskosten (Gerichts- und Parteikosten) mit summarischer Begründung aufgrund der Sachlage vor Eintritt des Erledigungsgrundes zu entscheiden. Der Beschwerdeführer ersucht um unentgeltliche Rechtspflege. Diesem Gesuch kann gestützt auf Art. 64 Abs. 1 BGG entsprochen werden. Der Beschwerdeführer legt seine Mittellosigkeit glaubhaft dar, und die Beschwerde erscheint im Hinblick auf die Anforderungen an kantonale Entscheide gemäss Art. 112 Abs. 1 BGG nicht als aussichtslos.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