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1B_147/2019 vom 23. April 2019</w:t>
      </w:r>
    </w:p>
    <w:p>
      <w:r>
        <w:t>Bundesgericht, 2019-04-23, FR</w:t>
      </w:r>
    </w:p>
    <w:p>
      <w:r>
        <w:rPr>
          <w:b/>
        </w:rPr>
        <w:t xml:space="preserve">Quelle: </w:t>
      </w:r>
      <w:r>
        <w:t>https://mcp.opencaselaw.ch/entscheid/bger_1B_147_2019</w:t>
      </w:r>
    </w:p>
    <w:p>
      <w:r>
        <w:t>FR: TF 1B_147/2019 du 23 avril 2019</w:t>
      </w:r>
    </w:p>
    <w:p>
      <w:r>
        <w:t>IT: TF 1B_147/2019 del 23 aprile 2019</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pour des motifs de sûreté. Selon l'art. 81 al. 1 let. a et b ch. 1 LTF, le recourant - actuellement détenu - a qualité pour agir. Pour le surplus, le recours a été formé en temps utile ( art. 100 al. 1 LTF ) contre une décision rendue en dernière instance cantonale ( art. 80 LTF ) et les conclusions qui y sont prises sont recevables ( art. 107 al. 2 LTF ). Partant, il y a lieu d'entrer en matière.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(art. 221 al. 1 let. a, b et c CPP). Préalablement à l'examen de ces hypothèses, il doit exister à l'égard de l'intéressé des charges suffisantes, soit de sérieux soupçons de culpabilité ( art. 221 al. 1 CPP ), condition qui n'est pas remise en cause en l'espèce, quand bien même le recourant nie avoir accompli les actes qui lui sont reprochés.</w:t>
      </w:r>
    </w:p>
    <w:p>
      <w:r>
        <w:rPr>
          <w:b/>
        </w:rPr>
        <w:t>E. 3</w:t>
      </w:r>
    </w:p>
    <w:p>
      <w:r>
        <w:t>Le recourant conteste l'existence d'un risque de récidive justifiant son maintien en détention.</w:t>
      </w:r>
    </w:p>
    <w:p>
      <w:r>
        <w:rPr>
          <w:b/>
        </w:rPr>
        <w:t>E. 3.1</w:t>
      </w:r>
    </w:p>
    <w:p>
      <w:r>
        <w:t>En vertu de l' art. 221 al. 1 let .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Le risque de récidive peut également se fonder sur les infractions faisant l'objet de la procédure pénale en cours, si le prévenu est fortement soupçonné - avec une probabilité confinant à la certitude - de les avoir commises ( ATF 143 IV 9 consid. 2.3.1 p. 12).</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y a lieu de tenir compte du besoin de protection spécifique propre à certains groupes de personnes, tels que les enfants ( ATF 143 IV 9 consid. 2.7 p. 15).</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3.2 p. 13; 137 IV 84 consid. 3.2 p. 86; arrêt 1B_455/2016 du 9 décembre 2016 consid. 3.1).</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 arrêt 1B_3/2019 du 17 janvier 2019 consid. 3.1).</w:t>
      </w:r>
    </w:p>
    <w:p>
      <w:r>
        <w:rPr>
          <w:b/>
        </w:rPr>
        <w:t>E. 3.2</w:t>
      </w:r>
    </w:p>
    <w:p>
      <w:r>
        <w:t>En l'espèce, le recourant est accusé de s'en être pris à plusieurs reprises à l'intégrité sexuelle de sa propre fille, âgée de moins de 4 ans au moment des faits. Si son casier judiciaire ne comporte certes aucune inscription, il doit être tenu compte, ainsi que l'a considéré la cour cantonale, de la gravité particulière des actes reprochés au moment d'examiner concrètement l'existence d'un risque de récidive, qui doit ainsi être apprécié selon des exigences moins élevées.</w:t>
      </w:r>
    </w:p>
    <w:p>
      <w:r>
        <w:t>En l'occurrence, la cour cantonale a retenu l'existence d'un risque de récidive en se fondant essentiellement sur les conclusions du rapport d'expertise, aux termes duquel ce risque devait être qualifié de modéré. Cela étant, en tant que, selon l'expert, le risque pouvait être atténué moyennant une prise en charge thérapeutique (cf. rapport d'expertise, p. 12), il n'apparaît pas que le recourant a débuté le traitement qu'il envisage d'effectuer auprès d'un psychiatre spécialisé, de sorte qu'il ne saurait en l'état s'en prévaloir pour dénier ou atténuer l'existence d'un risque modéré de récidive. En outre, s'il ressort certes du rapport d'expertise que l'intéressé ne présente pas les caractéristiques propres d'une personne souffrant de pédophilie, ni les critères d'une addiction sexuelle (cf. rapport d'expertise, p. 11), ce même rapport permet également de déduire que le recourant ne dispose que de peu de maîtrise sur sa sexualité. Ainsi, selon l'expert, l'intéressé vit une " sexualité désorganisée ", tendant à " reproduire un climat de permissivité ", et " peine à réfréner ses pulsions " (cf. rapport d'expertise, p. 10). A cet égard, le recourant ne conteste pas avoir eu des érections alors que sa fille lui faisait des câlins, minimisant alors ces faits (" mais c'est comme avec une jolie fille, je trouve "; cf. rapport d'expertise, p. 6), et présentant l'intéressée, malgré son très jeune âge, comme " avide sexuellement " (cf. rapport d'expertise, p. 5), et " hyper développée ", dès lors qu'elle s'adonnerait déjà à la masturbation (rapport d'expertise, p. 10). Par ailleurs, il ne conteste pas non plus avoir déclaré en cours de procédure qu'il lui était déjà arrivé d'aborder spontanément des jeunes filles mineures (cf. ordonnance du 25 février 2019, consid. 4 p. 2).</w:t>
      </w:r>
    </w:p>
    <w:p>
      <w:r>
        <w:t>On déduit de ce qui précède qu'en l'absence d'un traitement initié, le recourant présente encore, sur le plan de sa sexualité, une instabilité significative, laquelle est caractérisée en l'occurrence par le trouble schizotypique diagnostiqué par l'expert ainsi que par les affirmations pour le moins ambiguës de l'intéressé au sujet du lien entretenu avec sa fille et des prétendus désirs de cette dernière. Il s'agit là de facteurs qui ne permettent pas en l'état d'exclure de manière suffisante pour la sécurité d'autrui - en particulier celle de sa fille - tout risque de commission d'infraction.</w:t>
      </w:r>
    </w:p>
    <w:p>
      <w:r>
        <w:t>Au surplus, il importe peu que le recourant allègue s'être bien comporté entre sa première audition en date du 10 septembre 2018 et sa mise en détention, survenue le 10 octobre 2018. Cette circonstance ne saurait en effet à elle seule écarter un risque de récidive. Au demeurant, la détention provisoire a apparemment été ordonnée après que le médecin de sa fille avait décrit, dans son rapport du 5 octobre 2018, les causes possibles de la modification morphologique de l'hymen de l'enfant, ce qui rendait ainsi plus concrets les soupçons portés sur le recourant. On ne voit dès lors pas que c'est la seule appréciation de la nouvelle Procureure en charge du dossier, différente de celle la précédente magistrate, qui a conduit à sa mise en détention.</w:t>
      </w:r>
    </w:p>
    <w:p>
      <w:r>
        <w:rPr>
          <w:b/>
        </w:rPr>
        <w:t>E. 3.3</w:t>
      </w:r>
    </w:p>
    <w:p>
      <w:r>
        <w:t>A teneur de l' art. 237 al. 1 CPP , le tribunal compétent ordonne une ou plusieurs mesures moins sévères en lieu et place de la détention provisoire ou pour des motifs de sûreté si ces mesures permettent d'atteindre le même but que la détention. Cette disposition est une concrétisation du principe de la proportionnalité ( art. 36 al. 3 Cst. ) qui impose d'examiner les possibilités de mettre en oeuvre d'autres solutions moins dommageables que la détention ( ATF 142 IV 367 consid. 2.1 p. 370).</w:t>
      </w:r>
    </w:p>
    <w:p>
      <w:r>
        <w:t>En l'absence d'un traitement médical concrètement mis en oeuvre et débuté par le recourant, il n'apparaît pas que l'obligation de se soumettre à un tel traitement puisse en l'espèce être suffisante à prévenir tout risque de récidive, étant observé de surcroît que l'expert considère que le lien thérapeutique avec le recourant est " fragile, incertain et susceptible de se rompre s'il est contrarié ou frustré " (cf. rapport d'expertise, p. 6). Il en va de même d'interdictions de périmètre ou de contact - que ce soit avec sa fille ou avec les filles de sa voisine, qu'il avait parfois gardées -, en particulier dès lors qu'on ignore à ce stade les possibilités concrètes pour le recourant de savoir où se trouve sa fille et d'entrer en contact avec elle, de même qu'avec les filles de sa voisine. Enfin, du point de vue temporel, au vu de la gravité des infractions pour lesquelles le recourant a été mis en prévention et de la durée de la détention provisoire déjà subie, le principe de la proportionnalité demeure respecté.</w:t>
      </w:r>
    </w:p>
    <w:p>
      <w:r>
        <w:rPr>
          <w:b/>
        </w:rPr>
        <w:t>E. 3.4</w:t>
      </w:r>
    </w:p>
    <w:p>
      <w:r>
        <w:t>Au regard de ces éléments, la cour cantonale pouvait, sans violer le droit fédéral, maintenir le placement en détention provisoire du recourant en raison de l'existence d'un risque de réitération qu'aucune mesure de substitution ne permet en l'état de réduire.</w:t>
      </w:r>
    </w:p>
    <w:p>
      <w:r>
        <w:rPr>
          <w:b/>
        </w:rPr>
        <w:t>E. 4</w:t>
      </w:r>
    </w:p>
    <w:p>
      <w:r>
        <w:t>Il s'ensuit que le recours doit être rejeté.</w:t>
      </w:r>
    </w:p>
    <w:p>
      <w:r>
        <w:t>Le recourant a demandé l'assistance judiciaire ( art. 64 al. 1 LTF ). Les conditions y relatives paraissant réunies, il y a lieu d'admettre cette requête et de désigner Me Laurent Roulier en tant qu'avocat d'office du recourant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