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147/2014 vom 8. Mai 2014</w:t>
      </w:r>
    </w:p>
    <w:p>
      <w:r>
        <w:t>Bundesgericht, 2014-05-08, FR</w:t>
      </w:r>
    </w:p>
    <w:p>
      <w:r>
        <w:rPr>
          <w:b/>
        </w:rPr>
        <w:t xml:space="preserve">Quelle: </w:t>
      </w:r>
      <w:r>
        <w:t>https://mcp.opencaselaw.ch/entscheid/bger_1B_147_2014</w:t>
      </w:r>
    </w:p>
    <w:p>
      <w:r>
        <w:t>FR: TF 1B 147/2014 du 8 mai 2014</w:t>
      </w:r>
    </w:p>
    <w:p>
      <w:r>
        <w:t>IT: TF 1B 147/2014 del 8 maggio 2014</w:t>
      </w:r>
    </w:p>
    <w:p>
      <w:pPr>
        <w:pStyle w:val="Heading2"/>
      </w:pPr>
      <w:r>
        <w:t>Regeste</w:t>
      </w:r>
    </w:p>
    <w:p>
      <w:r>
        <w:t>Détention pour des motifs de sûreté; mesures de substitution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 actuellement détenu -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w:t>
      </w:r>
    </w:p>
    <w:p>
      <w:r>
        <w:rPr>
          <w:b/>
        </w:rPr>
        <w:t>E. 3</w:t>
      </w:r>
    </w:p>
    <w:p>
      <w:r>
        <w:t>Le recourant conteste en revanche l'existence d'un risque de récidive. Il soutient à cet égard que la Chambre des recours pénale aurait occulté les éléments propres à établir l'inexistence du risque de récidive et qu'elle se serait écartée des conclusions des experts psychiatres. Il prétend encore avoir effectué toutes les démarches nécessaires pour que, dès sa sortie, il puisse suivre le traitement ambulatoire classique, ainsi que celui en relation avec la sexualité. Quant à la possibilité de trouver un foyer, cette mesure ne réduirait pas le risque de récidive et serait irréalisable.</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les experts psychiatres ont retenu que le risque de récidive était, "d'un point de vue statistique", considéré comme faible, relevant que le recourant n'avait pas d'antécédent judiciaire et qu'il n'était pas dans le déni de ses actes, ni de sa pathologie, ni de son besoin d'aide. Selon ce rapport, un suivi spécifique concernant la sexualité semblait utile dans l'optique de diminuer le risque de récidive, soit en particulier un suivi ambulatoire pour la gestion de la sexualité et de la frustration, traitement qui viendrait s'inscrire dans la prise en charge plus globale qui était alors déjà d'actualité. Il ressort encore de l'expertise que, s'agissant du "futur lieu de vie" du recourant, un foyer semblait adapté; le recourant ne paraissait pas avoir les ressources pour vivre seul pour le moment. Le risque de récidive n'a ainsi pas été exclu par les experts. Certes, ils qualifient celui-ci de faible. Toutefois, ainsi que l'a retenu la juridiction cantonale, l'infraction reprochée au recourant est grave et cet élément doit être pris en compte au moment de l'appréciation. Cela vaut d'autant plus que les faits ont été perpétrés alors que le recourant résidait dans un foyer, soit dans un environnement pourtant propre à lui apporter un cadre adapté à ses besoins. Il apparaît en outre que le recourant ne donne aucune indication sur les éventuelles possibilités s'offrant à lui en cas de libération (notamment par rapport à son logement, ses ressources financières ou toute autre perspective qui permettrait d'assurer la sécurité publique); en particulier, il semble que le traitement préconisé en vue de faire baisser le risque de récidive n'a pas encore été entrepris. Dès lors, son parcours instable - oscillant entre certaines réussites scolaires ou professionnelles et de fréquentes hospitalisations psychiatriques - ne permet pas de retenir qu'en cas de remise en liberté et au vu de ses pathologies, il se trouverait dans une situation propre à exclure de manière suffisante pour la sécurité d'autrui tout risque de commission d'infraction; les regrets manifestés ne permettent en tout cas pas d'apporter de garantie à cet égard.</w:t>
      </w:r>
    </w:p>
    <w:p>
      <w:r>
        <w:rPr>
          <w:b/>
        </w:rPr>
        <w:t>E. 3.3</w:t>
      </w:r>
    </w:p>
    <w:p>
      <w:r>
        <w:t>Conformément au principe de proportionnalité ( art. 36 al. 3 Cst. ), il convient ensuite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De telles possibilité ne sont en l'occurrence pas contestées. En revanche, la mise en oeuvre de celles-ci est subordonnée à l'admission du recourant dans un foyer de type psychiatrique. Les remarques précédentes permettent de considérer que cette condition respecte le principe de proportionnalité. Cette mesure est en effet conforme à l'avis exprimé par les experts qui relevaient qu'un foyer semblait toujours adapté et que la nécessité d'une telle prise en charge ne pouvait être remise en question malgré les événements reprochés au recourant. Au vu des événements, il n'est certes pas aisé de trouver une place dans ce genre d'institution, mais toute démarche - sur lesquelles le recourant ne donne aucune information - n'est pas rendue impossible du fait de la détention; au demeurant, le premier juge ne semble pas avoir exclu qu'une hospitalisation à l'hôpital de Cery puisse entrer en considération. Enfin, la durée de la détention provisoire reste à ce jour proportionnée au vu du chef de prévention retenu (cf. art. 191 CP ) et de l'audience de jugement planifiée à mi-juin 2014.</w:t>
      </w:r>
    </w:p>
    <w:p>
      <w:r>
        <w:rPr>
          <w:b/>
        </w:rPr>
        <w:t>E. 3.4</w:t>
      </w:r>
    </w:p>
    <w:p>
      <w:r>
        <w:t>Par conséquent, la Chambre des recours pénale n'a pas violé le droit fédéral en confirmant la décision du Tmc du 28 février 2014.</w:t>
      </w:r>
    </w:p>
    <w:p>
      <w:r>
        <w:rPr>
          <w:b/>
        </w:rPr>
        <w:t>E. 4</w:t>
      </w:r>
    </w:p>
    <w:p>
      <w:r>
        <w:t>Il s'ensuit que le recours doit être rejeté. Le recourant a demandé l'assistance judiciaire et les conditions en paraissent réunies ( art. 64 al. 1 LTF ). Il y a lieu de désigner Me Mathilde Bessonnet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