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1B_146/2020 vom 26. März 2020</w:t>
      </w:r>
    </w:p>
    <w:p>
      <w:r>
        <w:t>Bundesgericht, 2020-03-26, DE</w:t>
      </w:r>
    </w:p>
    <w:p>
      <w:r>
        <w:rPr>
          <w:b/>
        </w:rPr>
        <w:t xml:space="preserve">Quelle: </w:t>
      </w:r>
      <w:r>
        <w:t>https://mcp.opencaselaw.ch/entscheid/bger_1B_146_2020</w:t>
      </w:r>
    </w:p>
    <w:p>
      <w:r>
        <w:t>FR: TF 1B_146/2020 du 26 mars 2020</w:t>
      </w:r>
    </w:p>
    <w:p>
      <w:r>
        <w:t>IT: TF 1B_146/2020 del 26 marzo 2020</w:t>
      </w:r>
    </w:p>
    <w:p>
      <w:pPr>
        <w:pStyle w:val="Heading2"/>
      </w:pPr>
      <w:r>
        <w:t>Erwägungen</w:t>
      </w:r>
    </w:p>
    <w:p>
      <w:r>
        <w:rPr>
          <w:b/>
        </w:rPr>
        <w:t>E. 1</w:t>
      </w:r>
    </w:p>
    <w:p>
      <w:r>
        <w:t>Angefochten ist ein kantonal letztinstanzlicher Entscheid, mit dem das Kantonsgericht die Weigerung der Staatsanwaltschaft, ein Einvernahmeprotokoll aus den Akten zu weisen und dem Beschwerdeführer ein Zeugnisverweigerungsrecht zuzugestehen, geschützt hat.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w:t>
      </w:r>
    </w:p>
    <w:p>
      <w:r>
        <w:t>Der Beschwerdeführer legt unter Verletzung seiner gesetzlichen Begründungspflicht nicht dar, inwiefern ihm durch den angefochtenen Zwischenentscheid ein nicht wiedergutzumachender Nachteil droht, und das ist auch keineswegs offensichtlich. Auf die Beschwerde ist wegen Verletzung der Begründungspflicht nicht einzutreten, und zwar, weil der Mangel offensichtlich ist, im vereinfachten Verfahren. 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