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146/2016 vom 30. Mai 2016</w:t>
      </w:r>
    </w:p>
    <w:p>
      <w:r>
        <w:t>Bundesgericht, 2016-05-30, DE</w:t>
      </w:r>
    </w:p>
    <w:p>
      <w:r>
        <w:rPr>
          <w:b/>
        </w:rPr>
        <w:t xml:space="preserve">Quelle: </w:t>
      </w:r>
      <w:r>
        <w:t>https://mcp.opencaselaw.ch/entscheid/bger_1B_146_2016</w:t>
      </w:r>
    </w:p>
    <w:p>
      <w:r>
        <w:t>FR: TF 1B 146/2016 du 30 mai 2016</w:t>
      </w:r>
    </w:p>
    <w:p>
      <w:r>
        <w:t>IT: TF 1B 146/2016 del 30 maggio 2016</w:t>
      </w:r>
    </w:p>
    <w:p>
      <w:pPr>
        <w:pStyle w:val="Heading2"/>
      </w:pPr>
      <w:r>
        <w:t>Regeste</w:t>
      </w:r>
    </w:p>
    <w:p>
      <w:r>
        <w:t>Strafverfahren; Entsiegelung | Strafprozess</w:t>
      </w:r>
    </w:p>
    <w:p>
      <w:pPr>
        <w:pStyle w:val="Heading2"/>
      </w:pPr>
      <w:r>
        <w:t>Erwägungen</w:t>
      </w:r>
    </w:p>
    <w:p>
      <w:r>
        <w:rPr>
          <w:b/>
        </w:rPr>
        <w:t>E. 1.1</w:t>
      </w:r>
    </w:p>
    <w:p>
      <w:r>
        <w:t>Angefochten ist ein kantonal letztinstanzlicher Entscheid in einer Strafsache; dagegen steht die Beschwerde in Strafsachen offen ( Art. 78 Abs. 1, Art. 80 Abs. 1 BGG ). Er schliesst das Strafverfahren gegen den Beschwerdeführer nicht ab, sondern ermöglicht vielmehr dessen Weiterführung. Es handelt sich um einen Zwischenentscheid, der die Staatsanwaltschaft ermächtigt, das Tagebuch des Beschwerdeführers zu durchsuchen und, soweit für das Berufungsverfahren relevant, als Beweismittel zu den Akten zu nehmen. Das kann für den Beschwerdeführer einen nicht wiedergutzumachenden Nachteil im Sinn von Art. 93 Abs. 1 lit. a BGG bewirken, weshalb die Beschwerde ans Bundesgericht nach konstanter Praxis zulässig ist ( BGE 140 IV 108 nicht publ. E. 1.5; 139 IV 246 E. 1.3; Urteile 1B_414/2013 vom 29. April 2014 E. 1; 1B_672/2012 vom 8. Mai 2013 E. 1.3; 1B_109/ 2010 vom 14. September 2010 E. 1.1; 1B_232/2009 vom 25. Februar 2010 E. 1). Der Beschwerdeführer hat am vorinstanzlichen Verfahren teilgenommen und ein rechtlich geschütztes Interesse zu verhindern, dass das umstrittene Tagebuch durchsucht und als Beweismittel gegen ihn verwendet wird; er ist damit zur Beschwerde befugt ( Art. 81 BGG ). Die übrigen Sachurteilsvoraussetzungen geben zu keinen Bemerkungen Anlass, sodass auf die Beschwerde einzutreten ist.</w:t>
      </w:r>
    </w:p>
    <w:p>
      <w:r>
        <w:rPr>
          <w:b/>
        </w:rPr>
        <w:t>E. 1.2</w:t>
      </w:r>
    </w:p>
    <w:p>
      <w:r>
        <w:t>Mit dem Entscheid in der Sache ist das Gesuch um aufschiebende Wirkung gegenstandslos geworden.</w:t>
      </w:r>
    </w:p>
    <w:p>
      <w:r>
        <w:rPr>
          <w:b/>
        </w:rPr>
        <w:t>E. 1.3</w:t>
      </w:r>
    </w:p>
    <w:p>
      <w:r>
        <w:t>Gegenstand des Verfahrens ist einzig die Entsiegelung des Tagebuchs, dessen Existenz das Regionalgefängnis Burgdorf dem Obergericht mit Schreiben vom 18. Dezember 2015 zur Kenntnis brachte. Nicht zu beurteilen ist, wie das Obergericht mit dem weiteren Tagebuch, welches offenbar im Februar 2016 in der Zelle des Beschwerdeführers gefunden wurde und das Regionalgefängnis Burgdorf zu einer Strafanzeige gegen den Beschwerdeführer veranlasste, im Berufungsprozess zu verfahren hat.</w:t>
      </w:r>
    </w:p>
    <w:p>
      <w:r>
        <w:rPr>
          <w:b/>
        </w:rPr>
        <w:t>E. 2.1</w:t>
      </w:r>
    </w:p>
    <w:p>
      <w:r>
        <w:t>Nach Art. 13 BV hat jede Person u.a. Anspruch auf Achtung ihres Privatlebens sowie auf Schutz vor Missbrauch ihrer persönlichen Daten. Art. 264 Abs. 1 lit. b StPO konkretisiert diese Verfassungsbestimmung für die Belange der Strafverfolgung dahingehend, dass persönliche Aufzeichnungen und Korrespondenz des Beschuldigten nicht beschlagnahmt werden dürfen, wenn sein Interesse am Schutz der Persönlichkeit das Strafverfolgungsinteresse überwiegt. Der angefochtene Entscheid ist somit dann rechtmässig, wenn das Interesse der Untersuchungsbehörden an der Kenntnisnahme der Tagebucheinträge höher einzustufen ist als das entgegenstehende Geheimhaltungsinteresse des Beschwerdeführers.</w:t>
      </w:r>
    </w:p>
    <w:p>
      <w:r>
        <w:rPr>
          <w:b/>
        </w:rPr>
        <w:t>E. 2.2</w:t>
      </w:r>
    </w:p>
    <w:p>
      <w:r>
        <w:t>Der Beschwerdeführer wurde zu einer Geldstrafe und einer stationären Massnahme verurteilt, weil ihm gutachterlich eine Abhängigkeit von verschiedenen Betäubungsmitteln (Opiaten, Kokain und Cannabis; ICD-10 F11.22 und F12.24) und Alkohol (ICD-10 F10.1) sowie eine paranoide Schizophrenie (ICD-10 F20.0) und eine dissoziale Persönlichkeitsstörung (ICD-10 F60.2) attestiert wurden.</w:t>
      </w:r>
    </w:p>
    <w:p>
      <w:r>
        <w:rPr>
          <w:b/>
        </w:rPr>
        <w:t>E. 2.3</w:t>
      </w:r>
    </w:p>
    <w:p>
      <w:r>
        <w:t>Hauptgegenstand des Berufungsverfahrens ist die Frage, ob gegen den Beschwerdeführer eine stationäre oder eine ambulante Massnahme verhängt werden soll. Deren Beantwortung hängt wesentlich davon ab, ob von ihm ein hohes Risiko für schwere Gewalttaten ausgeht und ob dieses gegebenenfalls auch durch eine ambulante Behandlung auf ein tragbares Mass reduziert werden kann oder nicht. Ob und in welcher Art der Beschwerdeführer Tötungsfantasien in seinem Tagebuch niedergeschrieben hat, kann für die Beurteilung seiner psychischen Verfassung und damit auch für die gutachterliche Risikoeinschätzung selbstredend von erheblicher Bedeutung sein. Unter diesen Umständen geht das öffentliche Interesse an einer möglichst umfassenden gutachterlichen Abklärung dem entgegenstehenden Anspruch des Beschwerdeführers auf Schutz seiner Privatsphäre vor. Es gilt zu vermeiden, dass die Gutachterin das vom Beschwerdeführer allenfalls ausgehende Gewaltrisiko falsch einschätzt, weil ihr nicht alle relevanten Akten zur Verfügung stehen. Würde sie auf einer unvollständigen tatsächlichen Grundlage allenfalls eine ungeeignete Massnahme empfehlen, so könnte das sowohl den Beschwerdeführer um eine sachgerechte Behandlung und Betreuung bringen als auch möglicherweise die öffentliche Sicherheit grob gefährden, wenn er etwa in Freiheit während eines psychotischen Schubs versuchen würde, allfällige Tötungsfantasien in die Realität umzusetzen. Da die Gutachterin mit den Besonderheiten des Falles vertraut ist, insbesondere auch mit dem Umstand, dass der unbestrittenermassen massnahmenbedürftige Beschwerdeführer seit seiner Verhaftung vom 14. August 2014, mithin seit rund 21 Monaten, in Gefängnissen und nicht in einer besser geeigneten Anstalt untergebracht ist, ist sie in der Lage zu beurteilen, ob und wie die Tagebucheinträge mit einer allenfalls mangelhaften Betreuung und Therapierung des Beschwerdeführers zusammenhängen. Dieser Umstand rechtfertigt daher entgegen der Auffassung des Beschwerdeführers nicht, das Tagebuch der gutachterlichen Beurteilung vorzuenthalten. Die Beschwerde erweist sich als unbegründet.</w:t>
      </w:r>
    </w:p>
    <w:p>
      <w:r>
        <w:rPr>
          <w:b/>
        </w:rPr>
        <w:t>E. 3</w:t>
      </w:r>
    </w:p>
    <w:p>
      <w:r>
        <w:t>Die Beschwerde ist somit abzuweisen. Bei diesem Ausgang des Verfahrens trüge an sich der Beschwerdeführer die Kosten ( Art. 66 Abs. 1 BGG ). Er hat indessen ein Gesuch um unentgeltliche Rechtspflege und Verbeiständung gestellt, welches gutzuheissen ist, da die Beschwerde nicht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