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1B_145/2021 vom 23. März 2021</w:t>
      </w:r>
    </w:p>
    <w:p>
      <w:r>
        <w:t>Bundesgericht, 2021-03-23, DE</w:t>
      </w:r>
    </w:p>
    <w:p>
      <w:r>
        <w:rPr>
          <w:b/>
        </w:rPr>
        <w:t xml:space="preserve">Quelle: </w:t>
      </w:r>
      <w:r>
        <w:t>https://mcp.opencaselaw.ch/entscheid/bger_1B_145_2021</w:t>
      </w:r>
    </w:p>
    <w:p>
      <w:r>
        <w:t>FR: TF 1B_145/2021 du 23 mars 2021</w:t>
      </w:r>
    </w:p>
    <w:p>
      <w:r>
        <w:t>IT: TF 1B_145/2021 del 23 marzo 2021</w:t>
      </w:r>
    </w:p>
    <w:p>
      <w:pPr>
        <w:pStyle w:val="Heading2"/>
      </w:pPr>
      <w:r>
        <w:t>Erwägungen</w:t>
      </w:r>
    </w:p>
    <w:p>
      <w:r>
        <w:rPr>
          <w:b/>
        </w:rPr>
        <w:t>E. 1</w:t>
      </w:r>
    </w:p>
    <w:p>
      <w:r>
        <w:t>Das Stadtrichteramt Zürich erliess am 12. Mai 2020 einen Strafbefehl gegen A.________ wegen Widerhandlungen gegen die Strassenverkehrsgesetzgebung. A.________ erhob dagegen Einsprache, worauf ihm das Stadtrichteramt mitteilte, dass sich die Einsprache als verspätet erweise. A.________ teilte daraufhin dem Stadtrichteramt mit, dass er die Einsprache nicht zurückziehe. Die Einhaltung der zehntägigen Einsprachefrist sei ihm nicht möglich gewesen; er beantrage daher die Wiederherstellung der Einsprachefrist.</w:t>
      </w:r>
    </w:p>
    <w:p>
      <w:r>
        <w:t>Das Stadtrichteramt überwies am 7. Juli 2020 die Akten an das Bezirksgericht Zürich, welches mit Verfügung vom 2. November 2020 auf die Einsprache nicht eintrat und den Strafbefehl vom 12. Mai 2020 für rechtskräftig erklärte. Dagegen erhob A.________ am 24. November 2020 Beschwerde. Die III. Strafkammer des Obergerichts des Kantons Zürich hiess mit Verfügung vom 18. Februar 2021 die Beschwerde gut, hob die Verfügung des Bezirksgerichts Zürich vom 2. November 2020 ersatzlos auf und wies das Stadtrichteramt Zürich an, nach Eingang der Akten über das Fristwiederherstellungsgesuch zu entscheiden.</w:t>
      </w:r>
    </w:p>
    <w:p>
      <w:r>
        <w:rPr>
          <w:b/>
        </w:rPr>
        <w:t>E. 2</w:t>
      </w:r>
    </w:p>
    <w:p>
      <w:r>
        <w:t>A.________ führt mit Eingabe vom 19. März 2021 Beschwerde in Strafsachen gegen die Verfügung der III. Strafkammer des Obergerichts des Kantons Zürich. Das Bundesgericht verzichtet auf die Einholung von Vernehmlassungen.</w:t>
      </w:r>
    </w:p>
    <w:p>
      <w:r>
        <w:rPr>
          <w:b/>
        </w:rPr>
        <w:t>E. 3</w:t>
      </w:r>
    </w:p>
    <w:p>
      <w:r>
        <w:t>Mit der angefochtenen Verfügung wird das Verfahren gegen den Beschwerdeführer nicht abgeschlossen. Es handelt sich mithin um einen Zwischenentscheid, gegen den die Beschwerde zulässig ist, wenn er einen nicht wieder gutzumachenden Nachteil rechtlicher Natur ( BGE 140 V 321 E. 3.6 S. 326 f.;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S. 34). Ist die Beschwerde gegen einen Zwischenentscheid nicht zulässig oder wurde von ihr kein Gebrauch gemacht, bleibt der Zwischenentscheid im Rahmen einer Beschwerde gegen Endentscheid anfechtbar, sofern er sich auf dessen Inhalt auswirkt ( Art. 93 Abs. 3 BGG ).</w:t>
      </w:r>
    </w:p>
    <w:p>
      <w:r>
        <w:t>Nach ständiger Praxis hat der Beschwerdeführer im Einzelnen darzulegen, inwiefern die Beschwerdevoraussetzungen nach Art. 93 Abs. 1 BGG erfüllt sind, ansonsten auf die Beschwerde mangels hinreichender Begründung nicht einzutreten ist ( BGE 141 IV 284 E. 2. 3 S. 287; 289 E. 1.3 S. 292). Der Beschwerdeführer äussert sich nicht zu den Beschwerdevoraussetzungen nach Art. 93 Abs. 1 BGG . Diese sind auch nicht offensichtlich gegeben. Auf die Beschwerde ist deshalb im vereinfachten Verfahren nach Art. 108 Abs. 1 BGG wegen Verletzung der Begründungspflicht nicht einzutreten.</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