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1B_143/2019 vom 23. April 2019</w:t>
      </w:r>
    </w:p>
    <w:p>
      <w:r>
        <w:t>Bundesgericht, 2019-04-23, FR</w:t>
      </w:r>
    </w:p>
    <w:p>
      <w:r>
        <w:rPr>
          <w:b/>
        </w:rPr>
        <w:t xml:space="preserve">Quelle: </w:t>
      </w:r>
      <w:r>
        <w:t>https://mcp.opencaselaw.ch/entscheid/bger_1B_143_2019</w:t>
      </w:r>
    </w:p>
    <w:p>
      <w:r>
        <w:t>FR: TF 1B_143/2019 du 23 avril 2019</w:t>
      </w:r>
    </w:p>
    <w:p>
      <w:r>
        <w:t>IT: TF 1B_143/2019 del 23 aprile 2019</w:t>
      </w:r>
    </w:p>
    <w:p>
      <w:pPr>
        <w:pStyle w:val="Heading2"/>
      </w:pPr>
      <w:r>
        <w:t>Erwägungen</w:t>
      </w:r>
    </w:p>
    <w:p>
      <w:r>
        <w:rPr>
          <w:b/>
        </w:rPr>
        <w:t>E. 1</w:t>
      </w:r>
    </w:p>
    <w:p>
      <w:r>
        <w:t>Selon l' art. 79 LTF , le recours en matière pénale est recevable contre les décisions de la Cour des plaintes du Tribunal pénal fédéral qui portent sur des mesures de contrainte, dont font partie les décisions relatives à la détention provisoire ou pour des motifs de sûreté au sens des art. 212 ss CPP ( ATF 143 IV 85 consid. 1.2 p. 87). Le recourant, prévenu actuellement détenu, a un intérêt juridique à la modification ou à l'annulation de la décision entreprise (art. 81 al. 1 let. a et b ch. 1 LTF). Le recours a été déposé en temps utile ( art. 100 al. 1 LTF ) et les conclusions qui y sont prises sont recevables ( art. 107 al. 2 LTF ). Partant, il y a lieu d'entrer en matière.</w:t>
      </w:r>
    </w:p>
    <w:p>
      <w:r>
        <w:rPr>
          <w:b/>
        </w:rPr>
        <w:t>E. 2</w:t>
      </w:r>
    </w:p>
    <w:p>
      <w:r>
        <w:t>Avec ses observations du 4 avril 2019, le MPC a produit différentes pièces - antérieures à l'arrêt attaqué et a priori faisant partie du dossier d'instruction - afin de répondre à certaines interrogations soulevées par le recourant dans son mémoire (cf. en particulier p. 6 de cette écriture). Vu l'issue du litige, la question de leur recevabilité - contestée par le recourant - peut cependant rester indécise.</w:t>
      </w:r>
    </w:p>
    <w:p>
      <w:r>
        <w:t>Cela vaut d'autant plus qu'elles n'apparaissent pas déterminantes à ce stade de la procédure. En effet, la prescription de l'action pénale n'est pas invoquée par le recourant dans le cadre de la présente cause afin d'obtenir sa libération (cf. le courrier du 4 décembre 2018 y relatif). En outre, le rapport final de la police du 19 décembre 2007, produit en annexe de la demande de prolongation de la détention du 24 janvier 2019, suffit pour considérer en l'état que le silencieux a été utilisé; ainsi, ce rapport relève - certes avec renvoi aux deux rapports de police des 15 février et 20 mai 1996 joints aux déterminations du 4 avril 2019 - que "les deux derniers coups ont été tirés à une distance supérieure à 60 cm ou à travers le silencieux" (cf. p. 6). Quant au procès-verbal d'une audition du 15 août 2003, cette pièce tend uniquement à rappeler que l'enquête a permis d'établir qui était le propriétaire du sac plastique trouvé sur le lieu du crime - à savoir la victime -, thématique paraissant ainsi dénuée de toute pertinence; le recourant ne l'étaie d'ailleurs pas, se limitant à soulever une question.</w:t>
      </w:r>
    </w:p>
    <w:p>
      <w:r>
        <w:rPr>
          <w:b/>
        </w:rPr>
        <w:t>E. 3</w:t>
      </w:r>
    </w:p>
    <w:p>
      <w:r>
        <w:t>Le recourant ne remet pas en cause l'existence des risques de fuite et de collusion retenus par l'instance précédente. Il ne soutient pas non plus que des mesures de substitution permettraient de les pallier ou que la durée de la détention avant jugement subie violerait le principe de proportionnalité.</w:t>
      </w:r>
    </w:p>
    <w:p>
      <w:r>
        <w:t>Si le recourant ne conteste pas l'existence de soupçons de la commissions d'infractions, il soutient en revanche que ceux-ci ne permettraient pas de retenir le chef de prévention d'assassinat ( art. 112 CP ), seule infraction dont l'action pénale ne serait pas prescrite à ce jour (cf. p. 7 du mémoire de recours).</w:t>
      </w:r>
    </w:p>
    <w:p>
      <w:r>
        <w:rPr>
          <w:b/>
        </w:rPr>
        <w:t>E. 3.1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un danger de collusion ou de réitération (cf. art. 221 al. 1 let. a, b et c CPP). Préalablement à ces conditions, il doit exister à l'égard de l'intéressé des charges suffisantes, soit de sérieux soupçons de culpabilité ( art. 221 al. 1 CPP ; art. 5 par. 1 let . c CEDH; ATF 139 IV 186 consid. 2 p. 187 s.).</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p. 333 s.; 143 IV 316 consid. 3.1 et 3.2 p. 318 s.).</w:t>
      </w:r>
    </w:p>
    <w:p>
      <w:r>
        <w:t>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(arrêt 1B_548/2018 du 8 janvier 2019 consid. 3.1).</w:t>
      </w:r>
    </w:p>
    <w:p>
      <w:r>
        <w:rPr>
          <w:b/>
        </w:rPr>
        <w:t>E. 3.2</w:t>
      </w:r>
    </w:p>
    <w:p>
      <w:r>
        <w:t>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 ATF 141 IV 61 consid. 4.1 p. 64).</w:t>
      </w:r>
    </w:p>
    <w:p>
      <w:r>
        <w:t>Pour caractériser la faute de l'assassin, l' art. 112 CP évoque le cas où les mobiles, le but ou la façon d'agir de l'auteur sont particulièrement odieux. Le mobile de l'auteur est notamment particulièrement odieux lorsqu'il tue pour obtenir une rémunération ou voler sa victime. Quant au but - qui se recoupe en grande partie avec le mobile -, il est particulièrement odieux lorsque l'auteur élimine un témoin gênant ou une personne qui l'entrave dans la commission d'une infraction. S'agissant de la façon d'agir, elle est particulièrement odieuse lorsqu'elle est barbare ou atroce ou lorsque l'auteur a exploité avec perfidie la confiance de la victime.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 ATF 141 IV 61 consid. 4.1 p. 64 s.).</w:t>
      </w:r>
    </w:p>
    <w:p>
      <w:r>
        <w:t>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141 IV 61 consid. 4.1 p. 65).</w:t>
      </w:r>
    </w:p>
    <w:p>
      <w:r>
        <w:rPr>
          <w:b/>
        </w:rPr>
        <w:t>E. 3.3</w:t>
      </w:r>
    </w:p>
    <w:p>
      <w:r>
        <w:t>Après avoir confirmé l'existence de soupçons de la commission d'infractions, notamment eu égard aux preuves matérielles - analyses ADN et traces digitales - reliant le recourant au silencieux retrouvé sur le lieu du crime (cf. consid. 2.2.4 p. 5 ss), la Cour des plaintes a considéré que la fabrication d'un silencieux démontrait que l'homicide avait été réfléchi et planifié à l'avance. Elle a ensuite relevé que la situation financière du recourant à cette époque (cf. les procès-verbaux d'audition du 2 novembre 2018 [p. 4] et du 7 novembre 2018 [p. 8]), son passé violent (cf. le procès-verbal d'audition du 2 novembre 2018 [p. 5-11]), les précédentes infractions commises dans un but d'enrichissement (cf. le procès-verbal d'audition du 30 octobre 2018 [p. 5 s.]), ainsi que le statut diplomatique de la victime permettaient de penser que l'acte aurait pu être commis de la main du recourant en vue de percevoir une rémunération. Selon la juridiction précédente, il existait donc de forts indices tant pour l'infraction d'assassinat ( art. 112 CP ) que pour celle de meurtre ( art. 111 CP ; cf. consid. 3.2.2 p. 10).</w:t>
      </w:r>
    </w:p>
    <w:p>
      <w:r>
        <w:rPr>
          <w:b/>
        </w:rPr>
        <w:t>E. 3.4</w:t>
      </w:r>
    </w:p>
    <w:p>
      <w:r>
        <w:t>Ce raisonnement ne prête pas le flanc à la critique. Si le recourant paraît contester les éléments retenus - qu'il a parfaitement identifiés (cf. p. 4 ss de son mémoire de recours) -, il ne développe cependant aucune argumentation propre à les remettre en cause.</w:t>
      </w:r>
    </w:p>
    <w:p>
      <w:r>
        <w:t>En particulier, aucun élément - pris individuellement - ne permet de considérer que l'appréciation d'ensemble serait arbitraire (sur cette notion en lien avec l'appréciation des preuves, ATF 143 IV 500 consid. 1.1 p. 503). Ainsi, un silencieux - sur lequel figurent par ailleurs l'ADN, ainsi que des traces digitales du recourant - peut effectivement démontrer une organisation de l'acte très grave prévu : les effets sonores liés à l'utilisation d'une arme à feu paraissent ainsi avoir été envisagés et des mesures pour y remédier - fabrication dudit objet - ensuite réalisées. Le recourant ne conteste pas avoir commis des infractions - notamment ultérieurement à 1995 - afin de s'enrichir. Il ne paraît ainsi pas exclu qu'un tel but puisse être également entré en considération antérieurement, notamment eu égard au défaut d'activité rémunératrice régulière qu'avait le recourant à la période des faits examinés (cf. les références précises données par l'autorité précédentes aux pages de ses auditions traitant de sa situation financière). Quant à son "passé violent", il prétend que les actes alors commis ne seraient pas de même nature ou n'auraient pas l'intensité ou les caractéristiques expliquant un assassinat. Ces comportements - qu'on ne saurait banaliser du fait qu'ils ont été principalement perpétrés contre ses compagnes - démontrent que le recourant n'hésite pas à avoir recours à la violence. Enfin, il n'invoque aucun élément de l'enquête - qui paraît se poursuivre activement (cf. les annexes mentionnées par le MPC à l'appui de sa requête de prolongation du 24 janvier 2019) - permettant d'envisager, même sous l'angle de la vraisemblance, que les charges retenues à son encontre - dont l'assassinat au sens de l' art. 112 CP - se seraient amoindries.</w:t>
      </w:r>
    </w:p>
    <w:p>
      <w:r>
        <w:t>Dans le cadre de la détention avant jugement et à ce stade de la procédure, les éléments retenus par la Cour des plaintes - à qui il n'appartient pas de qualifier juridiquement définitivement les faits examinés - sont suffisants pour considérer, sans arbitraire, que le chef de prévention d'assassinat pourrait entrer en considération dans le cas d'espèce.</w:t>
      </w:r>
    </w:p>
    <w:p>
      <w:r>
        <w:rPr>
          <w:b/>
        </w:rPr>
        <w:t>E. 4</w:t>
      </w:r>
    </w:p>
    <w:p>
      <w:r>
        <w:t>Il s'ensuit que le recours est rejeté.</w:t>
      </w:r>
    </w:p>
    <w:p>
      <w:r>
        <w:t>Le recourant a demandé l'octroi de l'assistance judiciaire ( art. 64 al. 1 LTF ). Les conditions y relatives étant réunies, il y a lieu d'admettre cette requête et de désigner Me Philippe Girod en tant qu'avocat d'office pour la procédure fédérale et de lui allouer une indemnité à titre d'honoraires, qui seront supportés par la caisse du Tribunal fédéral. Il n'est pas perçu de frais judiciaires (art. 66 al. 4 et 64 al. 1 LTF),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