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1B_143/2013 vom 30. April 2013</w:t>
      </w:r>
    </w:p>
    <w:p>
      <w:r>
        <w:t>Bundesgericht, 2013-04-30, DE</w:t>
      </w:r>
    </w:p>
    <w:p>
      <w:r>
        <w:rPr>
          <w:b/>
        </w:rPr>
        <w:t xml:space="preserve">Quelle: </w:t>
      </w:r>
      <w:r>
        <w:t>https://mcp.opencaselaw.ch/entscheid/bger_1B_143_2013</w:t>
      </w:r>
    </w:p>
    <w:p>
      <w:r>
        <w:t>FR: TF 1B_143/2013 du 30 avril 2013</w:t>
      </w:r>
    </w:p>
    <w:p>
      <w:r>
        <w:t>IT: TF 1B_143/2013 del 30 aprile 2013</w:t>
      </w:r>
    </w:p>
    <w:p>
      <w:pPr>
        <w:pStyle w:val="Heading2"/>
      </w:pPr>
      <w:r>
        <w:t>Erwägungen</w:t>
      </w:r>
    </w:p>
    <w:p>
      <w:r>
        <w:rPr>
          <w:b/>
        </w:rPr>
        <w:t>E. 1</w:t>
      </w:r>
    </w:p>
    <w:p>
      <w:r>
        <w:t>Gegen den angefochtenen, kantonal letztinstanzlichen Entscheid ist die Beschwerde in Strafsachen gegeben ( Art. 78 Abs. 1 und Art. 80 BGG ).</w:t>
      </w:r>
    </w:p>
    <w:p>
      <w:r>
        <w:rPr>
          <w:b/>
        </w:rPr>
        <w:t>E. 2.1</w:t>
      </w:r>
    </w:p>
    <w:p>
      <w:r>
        <w:t>Verfahrensgegenstand bildet die Rechtmässigkeit der Untersuchungshaft in der Zeit vom 25. Januar 2013 bis zur Anordnung der Sicherheitshaft am 7. Februar 2013.</w:t>
      </w:r>
    </w:p>
    <w:p>
      <w:r>
        <w:rPr>
          <w:b/>
        </w:rPr>
        <w:t>E. 2.2</w:t>
      </w:r>
    </w:p>
    <w:p>
      <w:r>
        <w:t>Zur Beschwerde in Strafsachen ist nach Art. 81 Abs. 1 lit. b BGG berechtigt, wer ein rechtlich geschütztes Interesse an der Aufhebung oder Änderung des angefochtenen Entscheids hat. Der Beschwerdeführer muss ein aktuelles praktisches Interesse an der Behandlung der Beschwerde haben. Dieses Erfordernis soll sicherstellen, dass das Bundesgericht konkrete und nicht bloss theoretische Fragen entscheidet. Nach der Rechtsprechung hat der Betroffene nach Beendigung der Untersuchungshaft kein aktuelles praktisches Interesse an der Behandlung der Haftbeschwerde ( BGE 136 I 274 E 1.3 S. 276 f. mit Hinweisen).</w:t>
      </w:r>
    </w:p>
    <w:p>
      <w:r>
        <w:t>Der Beschwerdeführer wurde mit Entscheid des Bezirksgerichts vom 28. Februar 2013 per sofort aus der Haft entlassen. Damit fehlt ihm das aktuelle praktische Interesse zur Beschwerdeführung vor Bundesgericht. Unter besonderen Umständen sind bestimmte Rügen jedoch trotz Entlassung des Beschwerdeführers aus der Haft materiell zu behandeln ( BGE 136 I 274 E. 1.3 S. 276 f. mit Hinweisen; vgl. nachfolgend E. 2.2.2 und E. 2.2.3).</w:t>
      </w:r>
    </w:p>
    <w:p>
      <w:r>
        <w:rPr>
          <w:b/>
        </w:rPr>
        <w:t>E. 2.2.1</w:t>
      </w:r>
    </w:p>
    <w:p>
      <w:r>
        <w:t>Der Beschwerdeführer bringt vor, trotz seiner Haftentlassung habe er ein aktuelles und konkretes Rechtsschutzinteresse, weil beim Bezirksgericht ein Antrag betreffend Genugtuungsanspruch wegen zu Unrecht erlittener Untersuchungs- und Sicherheitshaft hängig sei.</w:t>
      </w:r>
    </w:p>
    <w:p>
      <w:r>
        <w:t>Diese Argumentation geht fehl. Ein rechtlich geschütztes Interesse dafür, die Unrechtmässigkeit der Dauer des Freiheitsentzugs festzustellen, ist im Hinblick auf allfällige Entschädigungsansprüche des Beschwerdeführers zu verneinen, denn Schadenersatz- und Genugtuungsansprüche können vor Gericht unabhängig davon geltend gemacht werden, ob die Rechtswidrigkeit einer Zwangsmassnahme vorgängig festgestellt worden ist ( BGE 125 I 394 E. 4a S. 397).</w:t>
      </w:r>
    </w:p>
    <w:p>
      <w:r>
        <w:rPr>
          <w:b/>
        </w:rPr>
        <w:t>E. 2.2.2</w:t>
      </w:r>
    </w:p>
    <w:p>
      <w:r>
        <w:t>Besondere Umstände nimmt das Bundesgericht indes bei einer offensichtlichen Verletzung der Europäischen Menschenrechtskonvention (EMRK) an. Diesfalls entspricht es dem Gebot des fairen Verfahrens ( Art. 29 Abs. 1 BV ) und der Prozessökonomie, die entsprechende Rüge sogleich zu behandeln und dem Beschwerdeführer durch die Feststellung der Verletzung der EMRK Wiedergutmachung zu verschaffen. Behandelt das Bundesgericht die Beschwerde materiell, ist damit Art. 13 EMRK in jedem Fall Genüge getan ( BGE 136 I 274 E. 1.3 S. 276 f. mit Hinweisen).</w:t>
      </w:r>
    </w:p>
    <w:p>
      <w:r>
        <w:t>Im zu beurteilenden Fall liegt keine offensichtliche Verletzung der EMRK vor, was vom Beschwerdeführer im Übrigen auch nicht substanziiert behauptet wird:</w:t>
      </w:r>
    </w:p>
    <w:p>
      <w:r>
        <w:t>Das Haftverfahren wurde formell korrekt durchgeführt. Das Zwangsmassnahmengericht wies mit Verfügung vom 28. Januar 2013 das Haftentlassungsgesuch des Beschwerdeführers vom 25. Januar 2013 ab und verlängerte die Untersuchungshaft auf Antrag der Staatsanwaltschaft bis zum 1. März 2013. Da die Untersuchungshaft mit dem Eingang der Anklage beim erstinstanzlichen Gericht am 7. Februar 2013 endete, stellte die Staatsanwaltschaft formell korrekt gleichzeitig mit der Anklageerhebung ein Gesuch um Fortdauer der Haft in Form von Sicherheitshaft.</w:t>
      </w:r>
    </w:p>
    <w:p>
      <w:r>
        <w:t>Entgegen den Ausführungen in der Beschwerde hat die Vorinstanz ihre Begründungspflicht (als Teilgehalt des Anspruchs des Beschwerdeführers auf rechtliches Gehör gemäss Art. 29 Abs. 2 BV bzw. Art. 6 EMRK ) nicht verletzt. Vielmehr hat die Vorinstanz dargelegt, weshalb aus ihrer Sicht ein dringender Tatverdacht besteht und der besondere Haftgrund der Fluchtgefahr zu bejahen ist. Weiter hat die Vorinstanz festgehalten, dass sich ihres Erachtens vorliegend die Frage der Verhältnismässigkeit der Haftdauer erst ab dem Zeitpunkt der Anklageerhebung stellt.</w:t>
      </w:r>
    </w:p>
    <w:p>
      <w:r>
        <w:rPr>
          <w:b/>
        </w:rPr>
        <w:t>E. 2.2.3</w:t>
      </w:r>
    </w:p>
    <w:p>
      <w:r>
        <w:t>Das aktuelle praktische Interesse ist ferner nicht erforderlich, wenn sich die aufgeworfene Frage jederzeit unter gleichen oder ähnlichen Umständen wieder stellen könnte, an ihrer Beantwortung wegen der grundsätzlichen Bedeutung ein hinreichendes öffentliches Interesse besteht und eine rechtzeitige bundesgerichtliche Überprüfung im Einzelfall kaum je möglich wäre ( BGE 135 I 79 E. 1.1 S. 81 mit Hinweis).</w:t>
      </w:r>
    </w:p>
    <w:p>
      <w:r>
        <w:t>Diese Voraussetzungen sind hier nicht erfüllt. Aus den Vorbringen des Beschwerdeführers sind keine Grundsatzfragen ersichtlich, welche sich für eine Vielzahl Betroffener jederzeit in ähnlicher Weise stellen und die das Bundesgericht bei Nichteintreten kaum je rechtzeitig beantworten könnte (vgl. zum Ganzen auch Urteil 1B_704/2012 vom 14. Dezember 2012 E. 2).</w:t>
      </w:r>
    </w:p>
    <w:p>
      <w:r>
        <w:rPr>
          <w:b/>
        </w:rPr>
        <w:t>E. 3</w:t>
      </w:r>
    </w:p>
    <w:p>
      <w:r>
        <w:t>Auf die Beschwerde ist deshalb nicht einzutreten.</w:t>
      </w:r>
    </w:p>
    <w:p>
      <w:r>
        <w:t>Bei diesem Ausgang des Verfahrens wird der Beschwerdeführer grundsätzlich kostenpflichtig. Angesichts seiner schwierigen finanziellen Verhältnisse rechtfertigt es sich jedoch, auf die Erhebung von Gerichtskosten zu verzichten ( Art. 66 Abs. 1 Satz 2 BGG ). Damit ist der Antrag auf unentgeltliche Prozessführung gegenstandslos. Da die Beschwerde aussichtslos war, ist das Gesuch um unentgeltliche Rechtsverbeiständung abzuweisen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