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142/2022 vom 14. Juli 2022</w:t>
      </w:r>
    </w:p>
    <w:p>
      <w:r>
        <w:t>Bundesgericht, 2022-07-14, FR</w:t>
      </w:r>
    </w:p>
    <w:p>
      <w:r>
        <w:rPr>
          <w:b/>
        </w:rPr>
        <w:t xml:space="preserve">Quelle: </w:t>
      </w:r>
      <w:r>
        <w:t>https://mcp.opencaselaw.ch/entscheid/bger_1B_142_2022</w:t>
      </w:r>
    </w:p>
    <w:p>
      <w:r>
        <w:t>FR: TF 1B 142/2022 du 14 juillet 2022</w:t>
      </w:r>
    </w:p>
    <w:p>
      <w:r>
        <w:t>IT: TF 1B 142/2022 del 14 luglio 2022</w:t>
      </w:r>
    </w:p>
    <w:p>
      <w:pPr>
        <w:pStyle w:val="Heading2"/>
      </w:pPr>
      <w:r>
        <w:t>Regeste</w:t>
      </w:r>
    </w:p>
    <w:p>
      <w:r>
        <w:t>Procédure pénale; refus de nomination d'un avocat d'office | Procédure pénale</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recourir ( art. 81 al. 1 LTF ). Selon la jurisprudence, le refus de désigner un avocat d'office au prévenu est susceptible de lui causer un préjudice irréparable au sens de l' art. 93 al. 1 let. a LTF s'il devait s'avérer que tel n'est pas le cas ( ATF 140 IV 202 consid. 2.2 p. 205). Pour le surplus, le recours a été formé en temps utile ( art. 100 al. 1 LTF ) contre une décision rendue en dernière instance cantonale ( art. 80 LTF ) et les conclusions présentées sont recevables au regard de l' art. 107 al. 2 LTF . Partant, il y a lieu d'entrer en matière.</w:t>
      </w:r>
    </w:p>
    <w:p>
      <w:r>
        <w:rPr>
          <w:b/>
        </w:rPr>
        <w:t>E. 2</w:t>
      </w:r>
    </w:p>
    <w:p>
      <w:r>
        <w:t>Invoquant en particulier l' art. 6 ch. 1 et 3 CEDH , ainsi que l'art. 14 par. 3 du Pacte ONU II, le recourant reproche à l'autorité précédente d'avoir considéré que, malgré ses antécédents, la cause serait de peu de gravité, dès lors notamment que la peine encourue ne dépasserait pas la limite fixée à l' art. 132 al. 3 CPP . Selon le recourant, la situation juridique en lien avec l'infraction de séjour illégal serait "loin d'être claire, au vu de [sa] situation administrative particulière" - laquelle devrait être clarifiée - et de ses liens avec la Suisse, où résidait sa fille de trois ans.</w:t>
      </w:r>
    </w:p>
    <w:p>
      <w:r>
        <w:rPr>
          <w:b/>
        </w:rPr>
        <w:t>E. 2.1</w:t>
      </w:r>
    </w:p>
    <w:p>
      <w:r>
        <w:t>A teneur de l' art. 132 al. 1 let. b CPP , la direction de la procédure ordonne une défense d'office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 Les critères énoncés par l'art. 132 al. 1 let. b, 2 et 3 CPP reprennent largement la jurisprudence du Tribunal fédéral en matière d'assistance judiciaire rendue sur la base des art. 29 al. 3 Cst. et 6 ch. 3 let. c CEDH ( ATF 143 I 164 consid. 3.5 p. 174). Si les deux conditions mentionnées à l' 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(arrêt 1B_194/2021 du 21 juin 2021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p. 174; arrêt 1B_591/2021 du 12 janvier 2022 consid. 2.1).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 tenant principalement à la nature de la cause - et sur des éléments subjectifs, fondés sur l'aptitude concrète du requérant à mener seul la procédure (arrêt 1B_591/2021 du 12 janvier 2022 consid. 2.1 et les arrêts cités). S'agissant de la difficulté objective de la cause, à l'instar de ce qu'elle a développé en rapport avec les chances de succès d'un recours (cf. ATF 139 III 396 consid. 1.2 p. 397; 129 I 129 consid. 2.3.1 p. 135 s.), la jurisprudence impose de se demander si une personne raisonnable et de bonne foi, qui présenterait les mêmes caractéristiques que le requérant mais disposerait de ressources suffisantes, ferait ou non appel à un avocat ( ATF 140 V 521 consid. 9.1 p. 537).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1B_591/2021 du 12 janvier 2022 consid. 2.1 et les arrêts cités).</w:t>
      </w:r>
    </w:p>
    <w:p>
      <w:r>
        <w:rPr>
          <w:b/>
        </w:rPr>
        <w:t>E. 2.2</w:t>
      </w:r>
    </w:p>
    <w:p>
      <w:r>
        <w:t>En l'occurrence, l'autorité précédente a rappelé, à juste titre, que le Ministère public, dans son ordonnance pénale, avait révoqué la libération conditionnelle accordée au recourant et fixé une peine d'ensemble à trois mois de peine privative de liberté. La motivation de cette ordonnance pénale permet également de considérer que le Ministère public ne paraît pas avoir omis de prendre en considération les antécédents du recourant au moment de fixer le type et la quotité de la peine (cf. la mention de son casier judiciaire et le rappel des principes entrant en considération pour procéder à cette appréciation). Aucun élément ne permet ainsi de retenir que, sur un plan objectif, la peine encourue - serait-elle aggravée par le tribunal de première instance - dépasserait le seuil fixé à l' art. 132 al. 3 CPP . Cette limite ne saurait d'ailleurs être atteinte en additionnant les différentes peines prononcées antérieurement à l'encontre du recourant notamment en lien avec des infractions en matière d'entrée illégale et/ou de séjour illégal en Suisse; elles concernent au demeurant des périodes de commission différentes (cf. les dates indiquées dans le casier judiciaire). La cour cantonale a ensuite examiné les circonstances particulières du cas d'espèce, retenant que les faits et dispositions légales étaient clairement circonscrits - ce que ne remet pas en cause le recourant - et ne présentaient aucune difficulté de compréhension ou d'application. Le recourant ne conteste pas non plus avoir pu s'exprimer à leur égard, ayant notamment reconnu avoir pris les biens litigieux tout en expliquant, selon son appréciation, le contexte entourant les faits dénoncés. Lors de cette audition, le recourant était en outre assisté par l'avocate Debernardi; or, celle-ci n'a alors pas requis sa désignation en tant qu'avocate d'office et/ou formulé des réquisitions de preuve, notamment afin d'étayer les déclarations du recourant relatives à une demande d'autorisation de séjour en cours depuis 2012 auprès de l'Office cantonal de la population et des migrants (ci-après : OCPM; cf. le procès-verbal p. 4); elle ne le fait d'ailleurs pas non plus devant le Tribunal fédéral. En tout état de cause, si une demande a été déposée (cf. dans ce sens les constatations du jugement de la Chambre pénale d'appel et de révision dans son arrêt du 16 juin 2021 consid. 5.4 p. 26), l'obtention du dossier administratif ne requiert aucune compétence particulière de la part du recourant. Au vu des considérations susmentionnées, la cour cantonale n'a pas violé le droit fédéral en confirmant le rejet de l'assistance judiciaire prononcé par le Ministère public le 14 janvier 2022.</w:t>
      </w:r>
    </w:p>
    <w:p>
      <w:r>
        <w:rPr>
          <w:b/>
        </w:rPr>
        <w:t>E. 3</w:t>
      </w:r>
    </w:p>
    <w:p>
      <w:r>
        <w:t>Il s'ensuit que le recours est rejeté. Le recourant a demandé l'octroi de l'assistance judiciaire (cf. art. 64 al. 1 LTF ). Son recours n'était pas d'emblée dénué de chances de succès et, si la question de l'indigence a été laissée ouverte dans l'arrêt attaqué, la consultation du dossier permet de retenir l'indigence du recourant, lequel est sans emploi. Partant, cette requête doit être admise pour la procédure fédérale. Il y a lieu de désigner Me Valerie Debernardi en tant qu'avocate d'office du recourant pour la procédure fédérale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