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141/2018 vom 16. März 2018</w:t>
      </w:r>
    </w:p>
    <w:p>
      <w:r>
        <w:t>Bundesgericht, 2018-03-16, DE</w:t>
      </w:r>
    </w:p>
    <w:p>
      <w:r>
        <w:rPr>
          <w:b/>
        </w:rPr>
        <w:t xml:space="preserve">Quelle: </w:t>
      </w:r>
      <w:r>
        <w:t>https://mcp.opencaselaw.ch/entscheid/bger_1B_141_2018</w:t>
      </w:r>
    </w:p>
    <w:p>
      <w:r>
        <w:t>FR: TF 1B 141/2018 du 16 mars 2018</w:t>
      </w:r>
    </w:p>
    <w:p>
      <w:r>
        <w:t>IT: TF 1B 141/2018 del 16 marzo 2018</w:t>
      </w:r>
    </w:p>
    <w:p>
      <w:pPr>
        <w:pStyle w:val="Heading2"/>
      </w:pPr>
      <w:r>
        <w:t>Regeste</w:t>
      </w:r>
    </w:p>
    <w:p>
      <w:r>
        <w:t>Haftentlassung | Strafprozess</w:t>
      </w:r>
    </w:p>
    <w:p>
      <w:pPr>
        <w:pStyle w:val="Heading2"/>
      </w:pPr>
      <w:r>
        <w:t>Erwägungen</w:t>
      </w:r>
    </w:p>
    <w:p>
      <w:r>
        <w:rPr>
          <w:b/>
        </w:rPr>
        <w:t>E. 1</w:t>
      </w:r>
    </w:p>
    <w:p>
      <w:r>
        <w:t>Das Zwangsmassnahmengericht des Bezirks Meilen lehnte mit Verfügung vom 9. Februar 2018 das Haftentlassungsgesuch von A.________ und den Antrag der Staatsanwaltschaft See/Oberland auf eine Sperrfrist für Haftentlassungsgesuche ab. Dagegen erhob A.________ persönlich Beschwerde, welche die III. Strafkammer des Obergerichts des Kantons Zürich mit Beschluss vom 5. März 2018 abwies.</w:t>
      </w:r>
    </w:p>
    <w:p>
      <w:r>
        <w:rPr>
          <w:b/>
        </w:rPr>
        <w:t>E. 2</w:t>
      </w:r>
    </w:p>
    <w:p>
      <w:r>
        <w:t>A.________ erhob mit Eingabe vom 12. März 2018 "Rekurs" gegen den Beschluss der III. Strafkammer des Obergerichts des Kantons Zürich und ersuchte um umgehende Haftentlassung.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begründet seine Beschwerde überhaupt nicht.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