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1B_140/2021 vom 20. April 2021</w:t>
      </w:r>
    </w:p>
    <w:p>
      <w:r>
        <w:t>Bundesgericht, 2021-04-20, DE</w:t>
      </w:r>
    </w:p>
    <w:p>
      <w:r>
        <w:rPr>
          <w:b/>
        </w:rPr>
        <w:t xml:space="preserve">Quelle: </w:t>
      </w:r>
      <w:r>
        <w:t>https://mcp.opencaselaw.ch/entscheid/bger_1B_140_2021</w:t>
      </w:r>
    </w:p>
    <w:p>
      <w:r>
        <w:t>FR: TF 1B_140/2021 du 20 avril 2021</w:t>
      </w:r>
    </w:p>
    <w:p>
      <w:r>
        <w:t>IT: TF 1B_140/2021 del 20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5. März 2021 hat die Strafkammer des Bundesstrafgerichts Sicherheitshaft gegen A.________ angeordnet, nachdem es ihn gleichentags zu einer Freiheitsstrafe von 16 Monaten verurteilt und deren Vollzug zugunsten einer Massnahme nach Art. 60 StGB aufgeschoben hatte.</w:t>
      </w:r>
    </w:p>
    <w:p>
      <w:r>
        <w:t>Mit Schreiben vom 18. März 2021 überwies das Bundesstrafgericht dem Bundesgericht zwei an den Präsidenten bzw. den Präsidenten des Bundesgerichts gerichtete Eingaben von A.________ vom 16. März 2021 zur Behandlung.</w:t>
      </w:r>
    </w:p>
    <w:p>
      <w:r>
        <w:t>Innert der A.________ zur Behebung von Mängeln nach Art. 42 Abs. 2 BGG angesetzten Frist reichte sein Anwalt das Urteil und den Beschluss des Bundesstrafgerichts vom 5. März 2021 ein.</w:t>
      </w:r>
    </w:p>
    <w:p>
      <w:r>
        <w:t>Vernehmlassungen wurden keine eingeholt.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dem Beschwerdeführer, der Bundesanwaltschaft, dem Bundesstrafgericht, Strafkammer, und B.________ schriftlich mitgeteilt.</w:t>
      </w:r>
    </w:p>
    <w:p>
      <w:r>
        <w:t>Lausanne, 20. April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