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1B_140/2018 vom 11. Mai 2018</w:t>
      </w:r>
    </w:p>
    <w:p>
      <w:r>
        <w:t>Bundesgericht, 2018-05-11, DE</w:t>
      </w:r>
    </w:p>
    <w:p>
      <w:r>
        <w:rPr>
          <w:b/>
        </w:rPr>
        <w:t xml:space="preserve">Quelle: </w:t>
      </w:r>
      <w:r>
        <w:t>https://mcp.opencaselaw.ch/entscheid/bger_1B_140_2018</w:t>
      </w:r>
    </w:p>
    <w:p>
      <w:r>
        <w:t>FR: TF 1B_140/2018 du 11 mai 2018</w:t>
      </w:r>
    </w:p>
    <w:p>
      <w:r>
        <w:t>IT: TF 1B_140/2018 del 11 maggio 2018</w:t>
      </w:r>
    </w:p>
    <w:p>
      <w:pPr>
        <w:pStyle w:val="Heading2"/>
      </w:pPr>
      <w:r>
        <w:t>Erwägungen</w:t>
      </w:r>
    </w:p>
    <w:p>
      <w:r>
        <w:rPr>
          <w:b/>
        </w:rPr>
        <w:t>E. 1.1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Der Beschwerdeführer ist gemäss Art. 81 Abs. 1 BGG zur Beschwerde befugt ( BGE 141 IV 1 E. 1.1 S. 5; 138 IV 78 E. 1.3 S. 80; Urteil 6B_1039/2017 vom 13. März 2018 E. 1.2.2; je mit Hinweisen). Auf sein Rechtsmittel ist grundsätzlich einzutreten.</w:t>
      </w:r>
    </w:p>
    <w:p>
      <w:r>
        <w:rPr>
          <w:b/>
        </w:rPr>
        <w:t>E. 1.2</w:t>
      </w:r>
    </w:p>
    <w:p>
      <w:r>
        <w:t>Nicht einzutreten ist jedoch auf das erst nach Ablauf der Beschwerdefrist mit Eingabe vom vom 19. März 2018 eingereichte Ausstandsgesuch gegen Bundesrichter Karlen. Gemäss Art. 36 Abs. 1 BGG hat eine Partei, die den Ausstand einer Gerichtsperson verlangt, dem Gericht ein schriftliches Begehren einzureichen, sobald sie vom Ausstandsgrund Kenntnis erhält. Gestützt darauf sowie auf den Grundsatz von Treu und Glauben ( Art. 5 Abs. 3 BV ) obliegt es der Partei, den Ausstandsgrund so früh wie möglich, d.h. bei erster Gelegenheit, geltend zu machen (Urteile 8C_41/2013 vom 15. März 2013; 1B_277/2008 vom 13. November 2008 E. 2; je mit Hinweisen). Dies gilt auch, soweit eine Verletzung von Art. 6 EMRK gerügt wird ( BGE 143 V 66 E. 4.3 S. 69; 132 II 485 E. 4.3 S. 496; je mit Hinweisen). Der Beschwerdeführer legt nicht dar und es nicht ersichtlich, weshalb er sein Ausstandsgesuch, das er einzig mit der Parteizugehörigkeit des von ihm abgelehnten Bundesrichters begründet, nicht bereits in seiner Beschwerde hätte vorbringen können. Der Anspruch ist deshalb verwirkt (vgl. Urteil 1B_513/2017 vom 5. März 2018 E. 3.2 mit Hinweisen). Im Übrigen stellt die Parteizugehörigkeit bzw. die politische Einstellung eines Richters für sich allein weder nach der Rechtsprechung des Bundesgerichts noch des EGMR einen Ausstandsgrund dar (Urteil 6B_1043/2014 vom 25. November 2014 E. 2; Entscheid des EGMR</w:t>
      </w:r>
    </w:p>
    <w:p>
      <w:r>
        <w:t>Previti gegen Italien vom 8. Dezember 2009, Nr. 45291/06, Ziff. 258; je mit Hinweisen).</w:t>
      </w:r>
    </w:p>
    <w:p>
      <w:r>
        <w:rPr>
          <w:b/>
        </w:rPr>
        <w:t>E. 2.1</w:t>
      </w:r>
    </w:p>
    <w:p>
      <w:r>
        <w:t>Der Beschwerdeführer macht vorab geltend, er lehne die von der strafrechtlichen Abteilung des Bundesgerichts bestimmte Besetzung des Spruchkörpers wegen eines Verstosses gegen Art. 6 EMRK wegen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allgemeinen Befürchtungen des Beschwerdeführers, das System der periodischen Wiederwahl der Bundesrichter und Bundesrichterinnen liefere diese parteipolitischen Druckversuchen aus, ändern daran nichts. Die Rüge der Verletzung von Art. 6 EMRK ist unbegründet, und der Spruchkörper ist in der dargestellten üblichen Weise zu besetzen.</w:t>
      </w:r>
    </w:p>
    <w:p>
      <w:r>
        <w:rPr>
          <w:b/>
        </w:rPr>
        <w:t>E. 3.1</w:t>
      </w:r>
    </w:p>
    <w:p>
      <w:r>
        <w:t>Der Beschwerdeführer rügt eine Verletzung der Begründungspflicht ( Art. 29 Abs. 2 BV ) und des Rechts auf wirksame Beschwerde ( Art. 13 EMRK ). Der angefochtene Beschluss setze sich nicht mit der Frage der Verletzung von Art. 6 EMRK auseinander, was dem Ausstandsgesuch die Wirksamkeit im Sinne von Art. 13 EMRK nehme.</w:t>
      </w:r>
    </w:p>
    <w:p>
      <w:r>
        <w:rPr>
          <w:b/>
        </w:rPr>
        <w:t>E. 3.2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3.3</w:t>
      </w:r>
    </w:p>
    <w:p>
      <w:r>
        <w:t>Die Vorinstanz ist auf die Vorbringen des Beschwerdeführers insofern nicht eingetreten, als dieser die Beschwerdegegner ablehnte, ohne konkret darzutun, weshalb der Anschein der Befangenheit gegeben sei. Ihr Entscheid ist in dieser Hinsicht hinreichend begründet. Insofern, als der Beschwerdeführer eine Verletzung des Anspruchs auf den gesetzlichen Richter im Sinne von Art. 30 Abs. 1 BV und Art. 6 Abs. 1 EMRK geltend gemacht hatte, trat die Vorinstanz auf das Gesuch ein und setzte sich mit der beschwerdeführerischen Kritik auch eingehend auseinander. Aus dem angefochtenen Beschluss ist ohne Weiteres ersichtlich, aus welchen Erwägungen sie zum Schluss kam, der Anspruch sei nicht verletzt. Die Begründungspflicht wurde damit erfüllt. Ebenfalls unbegründet ist die Rüge der Missachtung von Art. 13 EMRK . Dass das vorliegende Verfahren dem Beschwerdeführer keine wirksame Beschwerde ermöglichen soll, ist nicht nachvollziehbar. Art. 13 EMRK ist nicht verletzt, nur weil die von Art. 13 EMRK geforderte Beschwerdeinstanz der Rechtsauffassung des Beschwerdeführers nicht folgt.</w:t>
      </w:r>
    </w:p>
    <w:p>
      <w:r>
        <w:rPr>
          <w:b/>
        </w:rPr>
        <w:t>E. 4.1</w:t>
      </w:r>
    </w:p>
    <w:p>
      <w:r>
        <w:t>Der Beschwerdeführer kritisiert, am Obergericht bestünden keine gesetzlichen Bestimmungen, die die Richterzuteilung im Voraus abstrakt regelten. Auch gebe es keinen Geschäftsverteilungsplan. Art. 6 EMRK verlange indessen, dass die Besetzung des Gerichts klar und eindeutig geregelt sei. Es sei unzulässig, wenn der Gerichtspräsident insofern über einen weiten Spielraum verfüge. Der Mangel einer hinreichenden gesetzlichen Grundlage betreffe auch den Einsatz von Oberrichter Niklaus, Geiser und Kiener im Ausstandsverfahren.</w:t>
      </w:r>
    </w:p>
    <w:p>
      <w:r>
        <w:rPr>
          <w:b/>
        </w:rPr>
        <w:t>E. 4.2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4.3</w:t>
      </w:r>
    </w:p>
    <w:p>
      <w:r>
        <w:t>Die Besetzung der Richterbank am Obergericht Bern ist in Art. 44 f. des Gesetzes über die Organisation der Gerichtsbehörden und der Staatsanwaltschaft vom 11. Juni 2009 (GSOG; BSG 161.1) geregelt. Die beiden Bestimmungen haben, soweit vorliegend von Interesse, folgenden Wortlaut:</w:t>
      </w:r>
    </w:p>
    <w:p>
      <w:r>
        <w:t>Art. 44 Abteilungspräsidentin oder Abteilungspräsident</w:t>
      </w:r>
    </w:p>
    <w:p>
      <w:r>
        <w:t>1 Die Abteilungspräsidentin oder der Abteilungspräsident führt die Abteilung und ist verantwortlich für die Fallzuteilung und den Belastungsausgleich.</w:t>
      </w:r>
    </w:p>
    <w:p>
      <w:r>
        <w:t>2 Sie oder er entscheidet über den Beizug von Ersatzrichterinnen und Ersatzrichtern.</w:t>
      </w:r>
    </w:p>
    <w:p>
      <w:r>
        <w:t>...</w:t>
      </w:r>
    </w:p>
    <w:p>
      <w:r>
        <w:t>Art. 45 Spruchkörper</w:t>
      </w:r>
    </w:p>
    <w:p>
      <w:r>
        <w:t>1 Die Urteilsfindung erfolgt in Dreierbesetzung, soweit das Gesetz nichts anderes bestimmt.</w:t>
      </w:r>
    </w:p>
    <w:p>
      <w:r>
        <w:t>...</w:t>
      </w:r>
    </w:p>
    <w:p>
      <w:r>
        <w:rPr>
          <w:b/>
        </w:rPr>
        <w:t>E. 4.4</w:t>
      </w:r>
    </w:p>
    <w:p>
      <w:r>
        <w:t>Die Vorinstanz führt aus, Rechtsanwalt Lücke, der eine ganze Reihe von Ausstandsgesuchen in verschiedenen Verfahren eingereicht habe, sei die Anwendung von Art. 44 und 45 GSOG bereits einlässlich erläutert worden. Mit Schreiben vom 25. September 2017 habe ihm Oberrichterin Schnell erklärt, dass sie als Präsidentin der Beschwerdekammer in der Regel sowohl in der Instruktions- als auch in der Entscheidphase beteiligt sei. Welche weiteren Kammermitglieder zum Entscheid beigezogen werden könnten, zeige sich in der Regel erst im Zeitpunkt des Beginns der Zirkulation, weil erst dann sicher sei, wer von den in der Beschwerdekammer tätigen Oberrichtern anwesend und auch tatsächlich verfügbar sei. Mit Schreiben vom 3. Oktober 2017 habe Oberrichterin Schnell festgehalten, dass es keine Listenplätze oder "Excel"-Tabellen gebe und dass sie die Kammerzusammensetzung im betreffenden Verfahren nach dem Kriterium der Verfügbarkeit vorgenommen habe.</w:t>
      </w:r>
    </w:p>
    <w:p>
      <w:r>
        <w:t>Weiter hält die Vorinstanz fest, aus dem Staatskalender sei ersichtlich, dass die Beschwerdekammer seit dem 1. Januar 2017 aus sechs Mitgliedern bestehe. Davon sei ein Mitglied (Oberrichter Niklaus) französischer Muttersprache. Er wirke - unter Vorbehalt von Abwesenheiten und Aushilfe insbesondere in Haftsachen - an deutschsprachigen Verfahren nicht mit.</w:t>
      </w:r>
    </w:p>
    <w:p>
      <w:r>
        <w:rPr>
          <w:b/>
        </w:rPr>
        <w:t>E. 4.5</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Das Bundesgericht setzte sich auch mit der Kritik an der Wahl der für das Ausstandsverfahren zuständigen Richter auseinander und stellte fest, dass sich das Obergericht auch in dieser Hinsicht von sachlichen Gesichtspunkten hatte leiten lassen, nämlich der Regel, dass konnexe Fälle im Allgemeinen vom gleichen Spruchkörper zu behandeln sind sowie der Regel, dass von einem Ausstandsgesuch betroffene Personen am Entscheid über dessen Begründetheit nicht mitwirken (zum Ganzen: a.a.O., E. 5-6, insbesondere E. 6.3). Die vom Beschwerdeführer vorgetragene Kritik gibt keinen Anlass, darauf zurückzukommen.</w:t>
      </w:r>
    </w:p>
    <w:p>
      <w:r>
        <w:rPr>
          <w:b/>
        </w:rPr>
        <w:t>E. 5.1</w:t>
      </w:r>
    </w:p>
    <w:p>
      <w:r>
        <w:t>Der Beschwerdeführer bringt vor, die Vorinstanz habe unter Verdrehung der Tatsachen die Verfahrenskosten seinem Rechtsvertreter auferlegt, was auf eine Feindschaft diesem gegenüber schliessen lasse. Dies stelle einen Ausstandsgrund dar.</w:t>
      </w:r>
    </w:p>
    <w:p>
      <w:r>
        <w:rPr>
          <w:b/>
        </w:rPr>
        <w:t>E. 5.2</w:t>
      </w:r>
    </w:p>
    <w:p>
      <w:r>
        <w:t>Das Obergericht begründete die Kostenauflage gestützt auf Art. 417 StPO damit, dass der Rechtsvertreter bei Beachtung minimaler Sorgfaltspflichten die Aussichtslosigkeit seiner Eingabe hätte erkennen können. Dabei berücksichtigte es, dass er bereits im Oktober und November 2017 insgesamt vierzehn Ausstandsgesuche eingereicht hatte.</w:t>
      </w:r>
    </w:p>
    <w:p>
      <w:r>
        <w:rPr>
          <w:b/>
        </w:rPr>
        <w:t>E. 5.3</w:t>
      </w:r>
    </w:p>
    <w:p>
      <w:r>
        <w:t>Der Beschwerdeführer macht weder geltend, dass die Kostenauflage in Verletzung von Art. 417 StPO erfolgte, noch begründet er seinen Vorwurf, das Obergericht habe die Tatsachen verdreht. Unter diesen Voraussetzungen ist kein Ausstandsgrund erkennbar, soweit die Rüge überhaupt hinreichend substanziiert wurde.</w:t>
      </w:r>
    </w:p>
    <w:p>
      <w:r>
        <w:rPr>
          <w:b/>
        </w:rPr>
        <w:t>E. 6</w:t>
      </w:r>
    </w:p>
    <w:p>
      <w:r>
        <w:t>Die Beschwerde ist deshalb abzuweisen, soweit darauf einzutreten ist.</w:t>
      </w:r>
    </w:p>
    <w:p>
      <w:r>
        <w:t>Der Beschwerdeführer stellt ein Gesuch um unentgeltliche Prozessführung und Rechtsverbeiständung. Da die gesetzlichen Voraussetzungen erfüllt sind, kann dem Gesuch entsprochen werden ( Art. 64 BGG ). Bei der Bemessung der Entschädigung ist zu berücksichtigen, dass die Beschwerde eine fast wörtliche Kopie von bereits in anderen Verfahren beim Bundesgericht eingereichten Beschwerden darstellt, was der Rechtsvertreter des Beschwerdeführers im Übrigen selbst einräumt. Es ist ihm somit nur ein geringer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