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1B_140/2017 vom 20. April 2017</w:t>
      </w:r>
    </w:p>
    <w:p>
      <w:r>
        <w:t>Bundesgericht, 2017-04-20, DE</w:t>
      </w:r>
    </w:p>
    <w:p>
      <w:r>
        <w:rPr>
          <w:b/>
        </w:rPr>
        <w:t xml:space="preserve">Quelle: </w:t>
      </w:r>
      <w:r>
        <w:t>https://mcp.opencaselaw.ch/entscheid/bger_1B_140_2017</w:t>
      </w:r>
    </w:p>
    <w:p>
      <w:r>
        <w:t>FR: TF 1B_140/2017 du 20 avril 2017</w:t>
      </w:r>
    </w:p>
    <w:p>
      <w:r>
        <w:t>IT: TF 1B_140/2017 del 20 aprile 2017</w:t>
      </w:r>
    </w:p>
    <w:p>
      <w:pPr>
        <w:pStyle w:val="Heading2"/>
      </w:pPr>
      <w:r>
        <w:t>Erwägungen</w:t>
      </w:r>
    </w:p>
    <w:p>
      <w:r>
        <w:rPr>
          <w:b/>
        </w:rPr>
        <w:t>E. 1</w:t>
      </w:r>
    </w:p>
    <w:p>
      <w:r>
        <w:t>Die Staatsanwaltschaft Zürich-Limmat führt aufgrund einer Anzeige der Gesundheitsdirektion des Kantons Zürich eine Strafuntersuchung gegen A.________ wegen Betrugs etc. Mit Eingabe vom 18. Januar 2017 erhob A.________ Beschwerde wegen Rechtsverzögerung/Rechtsverweigerung. Die III. Strafkammer des Obergerichts des Kantons Zürich trat mit Beschluss vom 10. Februar 2017 auf die Beschwerde nicht ein. Zur Begründung führte sie zusammenfassend aus, dass eine Beschwerde zu begründen sei. Der Beschwerdeführer nehme in seiner in weiten Teilen verworren erscheinenden Beschwerdeschrift nicht ansatzweise Bezug auf einen konkreten Sachverhalt. Er lege weder dar, gestützt auf welche Tatsachen er das Beschleunigungsgebot als verletzt erachte, noch führe er aus, durch welche Verhaltensweisen die Staatsanwältin die ihr vorgeworfenen Verletzungen begangen haben sollte. Die Beschwerdeschrift erweise sich somit als unsubstantiiert.</w:t>
      </w:r>
    </w:p>
    <w:p>
      <w:r>
        <w:rPr>
          <w:b/>
        </w:rPr>
        <w:t>E. 2</w:t>
      </w:r>
    </w:p>
    <w:p>
      <w:r>
        <w:t>A.________ führt mit Eingabe vom 3. April 2017 Beschwerde in Strafsachen gegen den Beschluss der III. Strafkammer des Obergerichts des Kantons Zürich vom 10. Februar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III. Strafkammer nicht auseinander und vermag mit seinen nicht sachbezogenen Ausführungen nicht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