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1B_140/2013 vom 25. April 2013</w:t>
      </w:r>
    </w:p>
    <w:p>
      <w:r>
        <w:t>Bundesgericht, 2013-04-25, DE</w:t>
      </w:r>
    </w:p>
    <w:p>
      <w:r>
        <w:rPr>
          <w:b/>
        </w:rPr>
        <w:t xml:space="preserve">Quelle: </w:t>
      </w:r>
      <w:r>
        <w:t>https://mcp.opencaselaw.ch/entscheid/bger_1B_140_2013</w:t>
      </w:r>
    </w:p>
    <w:p>
      <w:r>
        <w:t>FR: TF 1B_140/2013 du 25 avril 2013</w:t>
      </w:r>
    </w:p>
    <w:p>
      <w:r>
        <w:t>IT: TF 1B_140/2013 del 25 aprile 2013</w:t>
      </w:r>
    </w:p>
    <w:p>
      <w:pPr>
        <w:pStyle w:val="Heading2"/>
      </w:pPr>
      <w:r>
        <w:t>Erwägungen</w:t>
      </w:r>
    </w:p>
    <w:p>
      <w:r>
        <w:rPr>
          <w:b/>
        </w:rPr>
        <w:t>E. 1</w:t>
      </w:r>
    </w:p>
    <w:p>
      <w:r>
        <w:t>Gegen den angefochtenen Entscheid ist gemäss Art. 78 Abs. 1 BGG die Beschwerde in Strafsachen gegeben.</w:t>
      </w:r>
    </w:p>
    <w:p>
      <w:r>
        <w:t>Die Vorinstanz hat gestützt auf Art. 232 StPO entschieden; dies zulässigerweise in Kammerbesetzung ( BGE 138 IV 81 E. 2.1 S. 83). Mit der Einreichung der Beschwerde in Strafsachen gegen ihr Urteil vom 5. Dezember 2012 ging die Befugnis zur Haftanordnung nicht an das Bundesgericht über. Sie verblieb vielmehr bei der Vorinstanz (Urteile 6B_135/2012 vom 18. April 2012 E. 1.6 f.; 1B_85/2009 vom 8. April 2009 E. 7). Gemäss Art. 232 Abs. 2 StPO ist der vorinstanzliche Entscheid nicht anfechtbar. Somit steht kein Rechtsmittel nach der Strafprozessordnung zur Verfügung ( Art. 380 StPO ). Die Beschwerde in Strafsachen ist daher gemäss Art. 80 BGG zulässig.</w:t>
      </w:r>
    </w:p>
    <w:p>
      <w:r>
        <w:t>Der Beschwerdeführer ist nach Art. 81 Abs. 1 lit. a und b Ziff. 1 BGG zur Beschwerde befugt.</w:t>
      </w:r>
    </w:p>
    <w:p>
      <w:r>
        <w:t>Da auch die weiteren Sachurteilsvoraussetzungen erfüllt sind, ist auf die Beschwerde einzutreten.</w:t>
      </w:r>
    </w:p>
    <w:p>
      <w:r>
        <w:rPr>
          <w:b/>
        </w:rPr>
        <w:t>E. 2.1</w:t>
      </w:r>
    </w:p>
    <w:p>
      <w:r>
        <w:t>Gemäss Art. 221 Abs. 1 StPO ist Sicherheitshaft zulässig, wenn die beschuldigte Person eines Verbrechens oder Vergehens dringend verdächtig ist und ernsthaft zu befürchten ist, dass sie: a. sich durch Flucht dem Strafverfahren oder der zu erwartenden Sanktion entzieht (...).</w:t>
      </w:r>
    </w:p>
    <w:p>
      <w:r>
        <w:t>Der Beschwerdeführer anerkennt den dringenden Tatverdacht. Er macht einzig geltend, es fehle an der Fluchtgefahr.</w:t>
      </w:r>
    </w:p>
    <w:p>
      <w:r>
        <w:rPr>
          <w:b/>
        </w:rPr>
        <w:t>E. 2.2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2.3</w:t>
      </w:r>
    </w:p>
    <w:p>
      <w:r>
        <w:t>Der Beschwerdeführer ist nicht in der Schweiz aufgewachsen. Er ist 2003, also im Alter von 25 Jahren, hierher gekommen. Seine Eltern leben in der Türkei. Wie sich aus dem über den Beschwerdeführer erstellten psychiatrischen Gutachten vom 11. Oktober 2012 (S. 6) ergibt, hatte er vor seiner Festnahme zu den Eltern regelmässigen Kontakt; dies normalerweise jeden zweiten Tag. Zudem hat er in der Türkei 3 Brüder, zu denen er ein gutes Verhältnis pflegt. Überdies hat er nach wie vor Kontakt zu ehemaligen Schulkameraden in der Türkei (Gutachten a.a.O.). Nach seinen eigenen Angaben ist die Türkei für ihn seine Heimat (Gutachten S. 7). Er hat damit nach wie vor eine enge Bindung zur Türkei.</w:t>
      </w:r>
    </w:p>
    <w:p>
      <w:r>
        <w:t>Die Ehefrau des Beschwerdeführers, welche türkischer Abstammung ist, ist in der Schweiz aufgewachsen und Schweizer Bürgerin. Von ihr lebt er seit dem 15. Mai 2012 getrennt. Die Ehefrau hat das Scheidungsverfahren anhängig gemacht. Der Beschwerdeführer gibt an, die Scheidung sei ihm gleich (Gutachten S. 22). Eine tragfähige eheliche Beziehung besteht somit nicht mehr.</w:t>
      </w:r>
    </w:p>
    <w:p>
      <w:r>
        <w:t>Der Beschwerdeführer hat mit seiner Ehefrau zwei gemeinsame Söhne im Alter von 5 und 7 Jahren. Wie sich aus dem dem Bundesgericht eingereichten Schreiben des Amts für Justizvollzug des Kantons St. Gallen vom 15. April 2013 ergibt, hat das Kreisgericht St. Gallen den Beschwerdeführer am 11. März 2013 insbesondere wegen einfacher Körperverletzung zu 8 Monaten Freiheitsstrafe, abzüglich 86 Tage Untersuchungshaft, verurteilt. Das Kreisgericht erachtete es also als erwiesen, dass der Beschwerdeführer die Ehefrau geschlagen hat. Er hat dieses Urteil nach seinen eigenen Angaben nicht angefochten (Beschwerde S. 7 Ziff. 16). Das Gutachten geht davon aus, die Wahrscheinlichkeit, dass es zu weiteren tätlichen Übergriffen des Beschwerdeführers auf die Ehefrau und gegebenenfalls ihre Familie kommen könnte, sei erhöht (S. 24). Unter diesen Umständen ist fraglich, ob der Beschwerdeführer ein ausgedehntes Besuchsrecht für die Kinder erhalten wird.</w:t>
      </w:r>
    </w:p>
    <w:p>
      <w:r>
        <w:t>Der Beschwerdeführer war bereits vor seiner Festnahme am 25. September 2012 arbeitslos (Beschwerde S. 5 oben). Seine beruflichen Aussichten in der Schweiz sind somit beeinträchtigt, zumal er mit der Bestätigung des von den kantonalen Gerichten ausgesprochenen Berufsverbots als Taxifahrer rechnen muss. Seine finanzielle Lage ist schlecht. Er hat kein Einkommen, dagegen hohe Schulden (vgl. Gesuch um unentgeltliche Rechtspflege vom 16. April 2013 S. 2. ff.). Mit einer Rückkehr in sein Heimaltland könnte er sich demnach nicht nur dem drohenden Vollzug der Freiheitsstrafe entziehen, sondern auch dem Zugriff der Gläubiger.</w:t>
      </w:r>
    </w:p>
    <w:p>
      <w:r>
        <w:t>Das Kantonsgericht hat eine Freiheitsstrafe von 3 Jahren und einem Monat ausgesprochen. Der Beschwerdeführer muss daher mit einer empfindlichen Strafe rechnen. Da er vor Bundesgericht die Feststellung des Sachverhalts nur rügen kann, wenn sie offensichtlich unrichtig ist ( Art. 97 Abs. 1 BGG ), hat er geringere Chancen, einen Freispruch vom Vorwurf der von ihm bestrittenen sexuellen Belästigung und Vergewaltigung zu erlangen, als noch vor Kantonsgericht, das den Sachverhalt frei prüfen konnte ( Art. 398 Abs. 3 lit. b StPO ). Entsprechend hat sich die Fluchtgefahr vergrössert. Dies relativiert die Bedeutung des Umstandes, dass der Beschwerdeführer nach der Verurteilung durch das Kreisgericht Rorschach am 15./16. Mai 2012 bis zur Festnahme am 25. September 2012 nicht geflohen ist.</w:t>
      </w:r>
    </w:p>
    <w:p>
      <w:r>
        <w:t>Der Beschwerdeführer hat die Niederlassungsbewilligung. Gemäss Art. 63 Abs. 1 lit. a i.V.m. Art. 62 lit. b AuG (SR 142.20) kann eine solche widerrufen werden, wenn der Ausländer zu einer längerfristigen Freiheitsstrafe verurteilt wurde (vgl. zur amtlichen Publikation bestimmtes Urteil 2C_828/2011 vom 12. Oktober 2012 E. 2.1 mit Hinweisen). Bei einer allfälligen Bestätigung der kantonsgerichtlichen Verurteilung durch die Strafrechtliche Abteilung des Bundesgerichts muss der Beschwerdeführer somit - was er anerkennt (Beschwerde S. 7) - mit dem Widerruf der Niederlassungsbewilligung rechnen.</w:t>
      </w:r>
    </w:p>
    <w:p>
      <w:r>
        <w:t>Würdigt man dies gesamthaft, besteht nicht nur die abstrakte Möglichkeit der Flucht. Vielmehr sind dafür erhebliche Anhaltspunkte gegeben. Wenn die Vorinstanz Fluchtgefahr bejaht hat, verletzt das daher kein Bundesrecht.</w:t>
      </w:r>
    </w:p>
    <w:p>
      <w:r>
        <w:rPr>
          <w:b/>
        </w:rPr>
        <w:t>E. 2.4</w:t>
      </w:r>
    </w:p>
    <w:p>
      <w:r>
        <w:t>Die Vorinstanz nimmt an, mit Ersatzmassnahmen lasse sich die Fluchtgefahr nicht hinreichend bannen. Dagegen bringt der Beschwerdeführer nichts vor. Eine Bundesrechtsverletzung ist insoweit auch nicht ersichtlich. Auf auf Erwägungen der Vorinstanz (S. 6 E. 6) kann verwiesen werden ( Art. 109 Abs. 3 BGG ).</w:t>
      </w:r>
    </w:p>
    <w:p>
      <w:r>
        <w:rPr>
          <w:b/>
        </w:rPr>
        <w:t>E. 3</w:t>
      </w:r>
    </w:p>
    <w:p>
      <w:r>
        <w:t>Die Beschwerde ist danach abzuweisen.</w:t>
      </w:r>
    </w:p>
    <w:p>
      <w:r>
        <w:t>Der Beschwerdeführer ist mittellos. Da die Sicherheitshaft einen schweren Eingriff in die persönliche Freiheit darstellt, konnte er sich zur Beschwerde veranlasst sehen. Die unentgeltliche Rechtspflege und Verbeiständung nach Art. 64 BGG wird daher bewilligt. Es werden keine Kosten erhoben und dem Anwalt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