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1B_139/2020 vom 15. April 2020</w:t>
      </w:r>
    </w:p>
    <w:p>
      <w:r>
        <w:t>Bundesgericht, 2020-04-15, FR</w:t>
      </w:r>
    </w:p>
    <w:p>
      <w:r>
        <w:rPr>
          <w:b/>
        </w:rPr>
        <w:t xml:space="preserve">Quelle: </w:t>
      </w:r>
      <w:r>
        <w:t>https://mcp.opencaselaw.ch/entscheid/bger_1B_139_2020</w:t>
      </w:r>
    </w:p>
    <w:p>
      <w:r>
        <w:t>FR: TF 1B_139/2020 du 15 avril 2020</w:t>
      </w:r>
    </w:p>
    <w:p>
      <w:r>
        <w:t>IT: TF 1B_139/2020 del 15 aprile 2020</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conteste l'existence de charges suffisantes à son encontre.</w:t>
      </w:r>
    </w:p>
    <w:p>
      <w:r>
        <w:rPr>
          <w:b/>
        </w:rPr>
        <w:t>E. 3.1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1B_80/2020 du 13 mars 2020 consid. 3.1; 1B_219/2019 du 4 juin 2019 consid. 2.1).</w:t>
      </w:r>
    </w:p>
    <w:p>
      <w:r>
        <w:rPr>
          <w:b/>
        </w:rPr>
        <w:t>E. 3.2</w:t>
      </w:r>
    </w:p>
    <w:p>
      <w:r>
        <w:t>Le recourant est renvoyé pour l'essentiel aux développements contenus dans le précédent arrêt 1B_600/2019 du 17 janvier 2020 (cf. consid. 3), par lesquels il avait été constaté que différents éléments au dossier permettaient de mettre en lumière des indices sérieux de culpabilité à son égard, tant en lien avec le décès de B.________ qu'avec la dénonciation de C.________ portant sur des actes d'ordre sexuel subis alors qu'elle était enfant.</w:t>
      </w:r>
    </w:p>
    <w:p>
      <w:r>
        <w:rPr>
          <w:b/>
        </w:rPr>
        <w:t>E. 3.2.1</w:t>
      </w:r>
    </w:p>
    <w:p>
      <w:r>
        <w:t>Il est de surcroît relevé que, s'agissant du décès de B.________, les médecins du Centre universitaire romand de médecine légale (CURML) ont livré le 28 janvier 2020 leur rapport définitif en lien avec la levée de corps et l'autopsie médico-légale qu'il avait réalisées. Il en ressort que, si la cause du décès ne pouvait certes pas être établie avec certitude sur le plan médical, les lésions observées sur le corps de la victime étaient néanmoins compatibles et évocatrices d'un traumatisme par secousses qui étaient de nature à provoquer des lésions du système nerveux central conduisant au décès. Le nombre et la distribution des nombreuses lésions constatées (présence d'ecchymoses au niveau du cuir chevelu, du visage, de la région rétro-auriculaire et du dos, d'aspect frais) évoquaient par ailleurs une hétéro-agression. Du reste, le taux d'alcoolisation de la victime (2.55 g/kg dans le sang et 3.4 g/kg dans l'urine) n'était pas suffisant à lui-même pour expliquer le décès et les médecins n'avait pas constaté la présence de lésions de type défense, ni aucune pathologie préexistante ayant pu jouer de rôle dans le décès (cf. arrêt entrepris, consid. 2.3 p. 7 s.; rapport du CURML du 28 janvier 2020, dossier cantonal P. 4062).</w:t>
      </w:r>
    </w:p>
    <w:p>
      <w:r>
        <w:t>Il faut admettre avec la cour cantonale que les constats médicaux opérés - couplés avec ceux de l'enquête selon lesquels la victime serait décédée pendant le laps de temps où elle se trouvait seule avec le recourant, alors qu'une dispute les opposait - constituent des indices sérieux permettant de soupçonner que ce sont des coups répétés et des secousses portés par le recourant à la tête de la victime, occasionnant des lésions du système nerveux central, qui ont mené au décès.</w:t>
      </w:r>
    </w:p>
    <w:p>
      <w:r>
        <w:t>A ce stade de la procédure, il apparaît certes, en particulier sous l'angle subjectif, que d'autres qualifications juridiques que celle de meurtre ( art. 111 CP ) pourraient entrer en considération. Néanmoins, en tant que le recourant se prévaut que seule une imprévoyance coupable ( art. 12 al. 3 CP ) pourrait lui être reprochée en lien avec le décès de la victime - ce qui lui vaudrait tout au plus une condamnation pour homicide par négligence ( art. 118 CP ), voire pour lésions corporelles graves ( art. 122 CP ) ou simples ( art. 123 CP ) -, ses références à la jurisprudence en lien avec le " syndrome du bébé secoué " ne paraissent pas d'emblée pertinentes. Les faits déduits des arrêts du Tribunal fédéral cités par le recourant - en l'occurrence des affaires pour lesquelles la qualification de meurtre n'avait pas été retenue (cf. arrêts 6B_953/2017 du 28 mars 2018; 6B_974/2016 du 19 juillet 2017) - ne semblent en effet pas être survenus dans des circonstances comparables à celles des violences infligées dans la présente espèce, qui auraient trait selon les constats médicaux, outre à des secousses, à de multiples lésions portées à la tête de la victime, ce qui est propre à dénoter un acharnement particulier de l'auteur et à le soupçonner d'avoir causé le décès de sa compagne en agissant intentionnellement, possiblement par dol éventuel (cf. par exemple arrêt 6B_1177/2018 du 9 janvier 2019 consid. 1.6 et les références citées). Quant aux allégations selon lesquelles il pourrait se prévaloir d'avoir agi par légitime défense ( art. 15 CP ), dès lors que la victime l'aurait agressé avec un couteau, elles ne reposent en l'état sur aucun appui solide dans le dossier.</w:t>
      </w:r>
    </w:p>
    <w:p>
      <w:r>
        <w:rPr>
          <w:b/>
        </w:rPr>
        <w:t>E. 3.2.2</w:t>
      </w:r>
    </w:p>
    <w:p>
      <w:r>
        <w:t>En ce qui concerne les faits dénoncés par C.________, il est vrai que l'enquête comporte encore à ce stade plusieurs zones d'ombre, s'agissant notamment de l'âge de la victime au moment des actes dénoncés, de leur nature exacte et des circonstances de leur commission. Il est cependant constaté, avec la cour cantonale, que l'intéressée avait évoqué, entre fin 2018 et début 2019, à plusieurs personnes (soit notamment à ses parents et à ses petits amis successifs) avoir subi dans son enfance des attouchements d'un homme lorsqu'elle avait dormi chez une copine. De même, C.________ n'avait eu de cesse, après avoir reconnu le recourant sur une photographie publiée dans la presse, de le désigner comme l'auteur des actes qu'elle aurait subis. Il en ressort également qu'elle aurait été brutalement atteinte de graves troubles du comportement à l'époque correspondant à celle où elle aurait été agressée sexuellement (cf. arrêt entrepris, consid. 2.3 p. 8).</w:t>
      </w:r>
    </w:p>
    <w:p>
      <w:r>
        <w:t>Si ces éléments paraissent certes insuffisants à eux seuls pour mettre en lumière des soupçons propres à justifier le maintien du recourant en détention, plus de cinq mois après l'ouverture de l'enquête, ils permettent encore, en l'attente notamment d'une seconde audition de la victime, voire d'une confrontation, de tenir pour envisageable une condamnation en raison d'une infraction à l'intégrité sexuelle subie par C.________.</w:t>
      </w:r>
    </w:p>
    <w:p>
      <w:r>
        <w:rPr>
          <w:b/>
        </w:rPr>
        <w:t>E. 4</w:t>
      </w:r>
    </w:p>
    <w:p>
      <w:r>
        <w:t>Le recourant conteste l'existence d'un risque de fuite.</w:t>
      </w:r>
    </w:p>
    <w:p>
      <w:r>
        <w:rPr>
          <w:b/>
        </w:rPr>
        <w:t>E. 4.1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 ATF 145 IV 503 consid. 2.2 p. 507; ATF 123 I 31 consid. 3d p. 36; arrêt 1B_322/2017 du 24 août 2017 consid. 3.1, non publié in ATF 143 IV 330 ). La gravité de l'infraction ne peut pas, à elle seule, justifier la prolongation de la détention, même si elle permet souvent de présumer un danger de fuite en raison de l'importance de la peine dont le prévenu est menacé ( ATF 145 IV 503 consid. 2.2 p. 507; ATF 143 IV 160 consid. 4.3 p.167; ATF 125 I 60 consid. 3a p. 62 et les arrêts cités).</w:t>
      </w:r>
    </w:p>
    <w:p>
      <w:r>
        <w:rPr>
          <w:b/>
        </w:rPr>
        <w:t>E. 4.2</w:t>
      </w:r>
    </w:p>
    <w:p>
      <w:r>
        <w:t>Procédant à l'examen d'un risque de fuite, la cour cantonale a estimé que celui-ci devait être apprécié à l'aune des forts soupçons pesant sur le recourant et de la gravité des faits qui lui étaient reprochés, lesquels étaient susceptibles de conduire au prononcé d'une lourde peine. Une remise en liberté à ce stade de la procédure ne pouvait dès lors être ordonnée qu'avec une extrême prudence.</w:t>
      </w:r>
    </w:p>
    <w:p>
      <w:r>
        <w:t>A cet égard, il fallait prendre en considération que, même si le recourant, né en 1966, ne disposait que de la nationalité suisse et avait toujours été domicilié dans le canton de Fribourg, celui-ci avait manifesté le projet de s'installer " à court ou moyen terme " au Brésil pour y monter sa propre affaire, en l'occurrence un " petit restaurant ", après s'être rendu dans ce pays, seul, une première fois en 2017, puis, accompagné de la victime, en 2018. Le recourant ne disposait plus d'attaches importantes en Suisse, où il n'exerçait qu'un emploi temporaire et avait accumulé de nombreuses dettes. Il n'entretenait du reste plus que des relations distendues avec sa famille, n'ayant plus de contacts avec son fils, né en 1990, ni avec sa mère depuis 2017. Si ses deux filles, nées respectivement en 1996 et 2000, venaient certes régulièrement lui rendre visite en prison, le recourant avait accepté, avant les faits de septembre 2019, de ne plus les revoir dès lors que la victime, qu'il avait rencontrée en 2017, le lui avait interdit. Enfin, les différentes versions communiquées par le recourant quant au déroulement des faits ne le présentaient pas comme une personne réellement prête à assumer les conséquences de ses actes.</w:t>
      </w:r>
    </w:p>
    <w:p>
      <w:r>
        <w:t>Au regard de ces circonstances, la cour cantonale a estimé qu'un risque de fuite suffisant justifiait le maintien en détention (cf. arrêt entrepris, consid. 3.3 et 3.4 p. 11 s.).</w:t>
      </w:r>
    </w:p>
    <w:p>
      <w:r>
        <w:rPr>
          <w:b/>
        </w:rPr>
        <w:t>E. 4.3</w:t>
      </w:r>
    </w:p>
    <w:p>
      <w:r>
        <w:t>Le recourant conteste à plusieurs égards le raisonnement de la Chambre pénale.</w:t>
      </w:r>
    </w:p>
    <w:p>
      <w:r>
        <w:t>S'agissant de son projet de s'établir au Brésil, il faut concéder au recourant qu'aucun élément ne permet d'établir que celui-ci se trouvait, avant sa détention, à un stade avancé de concrétisation. Il le paraît d'autant moins que sa compagne brésilienne est maintenant décédée. Néanmoins, il n'est pas insoutenable de considérer que ce projet d'expatriation était de nature à dépeindre le recourant comme une personne prête à envisager un changement de vie radical, que ce soit au Brésil ou ailleurs, pour échapper à sa condition délicate en Suisse, en particulier sur le plan financier. Ses précédents voyages, en particulier celui de 2017, effectué seul pour une durée d'un mois et lors duquel il avait rencontré la victime, tendent ainsi à démontrer que celui-ci est capable de s'organiser malgré des ressources limitées, de faire preuve d'initiative et de nouer des contacts. Il apparaît ainsi qu'en dépit de ses revenus décrits comme modestes et de ses dettes - qui s'élèveraient à environ 300'000 fr. -, il avait été en mesure de financer ses voyages et de remettre à la victime des sommes d'argent (600 fr. par mois en moyenne durant 27 mois) durant leur relation. Il n'est du reste pas exclu que le recourant puisse bénéficier de l'appui de tiers dans les démarches qu'il déciderait d'entreprendre, comme cela avait été le cas à l'occasion de son voyage de 2018, pour lequel il aurait reçu de l'argent de la part de sa mère.</w:t>
      </w:r>
    </w:p>
    <w:p>
      <w:r>
        <w:t>S'il soutient par ailleurs que sa fuite n'est pas rendue vraisemblable dès lors qu'il entretient des liens " très forts " avec ses deux filles, majeures, il ne prétend pas pour autant qu'il subviendrait d'une quelconque manière à leur entretien, pas plus qu'il ne conteste que leurs relations s'étaient distendues depuis le début de sa relation avec la victime, les contacts n'ayant repris qu'à l'occasion de son incarcération. Dans ce contexte, la cour cantonale pouvait considérer que l'intensité des liens unissant le recourant à sa famille n'était pas suffisante pour écarter le risque de fuite. Enfin, si les restrictions de déplacement actuellement en vigueur en lien avec la pandémie de coronavirus compromettent certes le transport du recourant, les circonstances actuelles n'excluent toutefois pas la possibilité, pour une personne prête à déjouer les contrôles, de quitter le territoire national, voire d'entreprendre un passage à la clandestinité dans l'attente d'une normalisation de la situation.</w:t>
      </w:r>
    </w:p>
    <w:p>
      <w:r>
        <w:t>Dès lors, l'appréciation de la Chambre pénale quant à un risque de fuite peut être confirmée. Eu égard à la gravité particulière des faits reprochés au recourant et des infractions pouvant entrer en considération, qui pourraient lui valoir une lourde peine, il faut en effet admettre que le défaut d'attaches solides en Suisse (absence de liens familiaux étroits, emploi temporaire, situation d'endettement), de même que ses déclarations en lien avec un projet d'expatriation ainsi que ses deux voyages au Brésil effectués ces trois dernières années, constituent en l'espèce des éléments propres à rendre suffisamment vraisemblable que l'intéressé choisisse de prendre la fuite à l'étranger pour échapper à la sanction qui pourrait lui être infligée.</w:t>
      </w:r>
    </w:p>
    <w:p>
      <w:r>
        <w:rPr>
          <w:b/>
        </w:rPr>
        <w:t>E. 4.4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t>Le recourant ne propose pas de mesures de substitution, pas plus qu'il ne s'en prend à l'appréciation de la Chambre pénale quant à l'absence de mesure efficace propre à pallier le risque de fuite (cf. arrêt entrepris, consid. 5.2 p. 13). Il faut à cet égard relever que, si une assignation à résidence, couplée à une obligation de se présenter régulièrement à un service administratif et à une saisie des papiers d'identité, seraient certainement de nature à compliquer un départ de la Suisse par voie aérienne, il ne paraît pas d'emblée que de telles mesures seraient suffisantes en l'espèce pour dissuader le recourant d'entreprendre le passage des frontières nationales par le biais d'autres moyens de transport, en particulier pour rejoindre les pays limitrophes. Il en va également ainsi dans l'hypothèse d'une surveillance du respect des mesures au moyen d'appareils électroniques (cf. art. 237 al. 3 CPP ), dont l'adéquation devrait quoi qu'il en soit être évaluée en fonction de l'ensemble des circonstances de la cause (cf. ATF 145 IV 503 consid. 3.3.2 p. 512).</w:t>
      </w:r>
    </w:p>
    <w:p>
      <w:r>
        <w:t>Enfin, s'agissant des critiques du recourant en lien avec la peine concrètement encourue en cas de condamnation, il est rappelé que l'infraction de meurtre est réprimée d'une peine privative de liberté de cinq ans au moins (cf. art. 111 CP ), celle-ci étant encore susceptible d'être augmentée en cas de condamnation en raison d'une infraction à l'intégrité sexuelle (cf. art. 49 al. 1 CP ). La cour cantonale pouvait ainsi considérer qu'au regard la durée de la détention provisoire déjà subie - environ 8 mois au 18 mai 2020 -, le principe de la proportionnalité était également respecté du point de vue temporel.</w:t>
      </w:r>
    </w:p>
    <w:p>
      <w:r>
        <w:rPr>
          <w:b/>
        </w:rPr>
        <w:t>E. 4.5</w:t>
      </w:r>
    </w:p>
    <w:p>
      <w:r>
        <w:t>Il s'ensuit qu'au vu du risque de fuite existant et en l'absence de mesures de substitution suffisamment aptes à le réduire, la Chambre pénale pouvait, sans violer le droit fédéral, ordonner la prolongation de la détention provisoire du recourant.</w:t>
      </w:r>
    </w:p>
    <w:p>
      <w:r>
        <w:rPr>
          <w:b/>
        </w:rPr>
        <w:t>E. 5</w:t>
      </w:r>
    </w:p>
    <w:p>
      <w:r>
        <w:t>Le recours doit dès lors être rejeté.</w:t>
      </w:r>
    </w:p>
    <w:p>
      <w:r>
        <w:t>Le recourant a demandé l'octroi de l'assistance judiciaire ( art. 64 al. 1 LTF ). Les conditions y relatives étant réunies, cette requête doit être admise. Il y a donc lieu de désigner Me Elias Moussa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