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139/2013 vom 29. April 2013</w:t>
      </w:r>
    </w:p>
    <w:p>
      <w:r>
        <w:t>Bundesgericht, 2013-04-29, FR</w:t>
      </w:r>
    </w:p>
    <w:p>
      <w:r>
        <w:rPr>
          <w:b/>
        </w:rPr>
        <w:t xml:space="preserve">Quelle: </w:t>
      </w:r>
      <w:r>
        <w:t>https://mcp.opencaselaw.ch/entscheid/bger_1B_139_2013</w:t>
      </w:r>
    </w:p>
    <w:p>
      <w:r>
        <w:t>FR: TF 1B 139/2013 du 29 avril 2013</w:t>
      </w:r>
    </w:p>
    <w:p>
      <w:r>
        <w:t>IT: TF 1B 139/2013 del 29 aprile 2013</w:t>
      </w:r>
    </w:p>
    <w:p>
      <w:pPr>
        <w:pStyle w:val="Heading2"/>
      </w:pPr>
      <w:r>
        <w:t>Regeste</w:t>
      </w:r>
    </w:p>
    <w:p>
      <w:r>
        <w:t>détention provisoire | Procédure pénale</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ne remet pas en cause le caractère suffisant des charges qui pèsent sur lui. Il conteste en revanche l'existence d'un risque de récidive propre à justifier son maintien en détention, invoquant à cet égard les conclusions de l'expertise psychiatrique du 16 janvier 2013.</w:t>
      </w:r>
    </w:p>
    <w:p>
      <w:r>
        <w:rPr>
          <w:b/>
        </w:rPr>
        <w:t>E. 3.1</w:t>
      </w:r>
    </w:p>
    <w:p>
      <w:r>
        <w:t>Aux termes de l' art. 221 al. 1 let . c CPP, la détention pour des motifs de sûreté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La jurisprudence se montre cependant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 ATF 123 I 268 consid. 2e p. 271).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arrêt 1B_133/2011 du 12 avril 2011 consid. 4.7 in SJ 2011 I p. 487).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Le recourant entend tirer argument de l'expertise psychiatrique qui qualifie le risque de récidive de "faible à modéré"; à ses yeux, un tel risque de réitération ne serait pas suffisant au regard de l' art. 221 al. 1 CPP . En l'occurrence, le Tribunal cantonal a pris en considération l'appréciation des experts et l'a mise en balance avec d'autres éléments du cas d'espèce. Il a ainsi mis en exergue la gravité des infractions contre l'intégrité sexuelle reprochées à l'intéressé, de sorte que le juge de la détention pouvait se montrer moins strict dans l'exigence de la vraisemblance du risque de réitération (cf. supra consid. 3.1). Par ailleurs, le prévenu persiste à soutenir que les relations entretenues avec sa nièce B.________ entre 2007 et 2012 étaient consentantes; il n'avait dès lors manifestement pas pris la mesure de la gravité des faits. Les experts ont à cet égard relevé que l'état psychologique du prévenu était caractérisé par l'absence de reconnaissance du caractère délictueux de ses actes et d'un dysfonctionnement interne, l'absence de sentiments de honte ou de culpabilité ainsi que l'absence de reconnaissance d'un lien entre le comportement délictueux et les conséquences sur les victimes. Les infractions ne se limitaient en outre pas à sa nièce B.________, le prévenu étant également poursuivi pour des actes d'ordre sexuel et contrainte sexuelle sur la personne de D.________ entre 2009 (11 ans) et 2012 (13 ans) ainsi que pour pornographie en raison de téléchargements depuis 2007 de fichiers pédopornographiques, à caractère zoophile ou présentant des scènes d'urolagnie; il aurait enfin montré de l'intérêt pour la nièce de son amie, âgée d'une quinzaine d'années. Comme relevé par l'instance précédente, ces éléments démontrent que les intérêts sexuels déviants du prévenu ne sont pas circonscrits au cercle familial connu. L'appréciation du Tribunal cantonal concernant l'existence du danger de réitération n'apparaît pas contraire au droit fédéral, le prévenu se prévalant en vain de l'expertise en tant qu'elle qualifie de faible à moyen le risque de réitération. En effet, un danger de récidive suffisamment concret peut en l'espèce être retenu eu égard à la gravité des actes, à leur répétition durant plusieurs années et à la prise de conscience tardive - et hypothétique, en l'état, selon l'instance cantonale - du prévenu. De même, le fait que le prévenu n'ait pas adopté de comportement déplacé à l'endroit de la nièce de son amie C.________ n'est pas suffisant pour remettre en cause l'appréciation de l'instance cantonale.</w:t>
      </w:r>
    </w:p>
    <w:p>
      <w:r>
        <w:rPr>
          <w:b/>
        </w:rPr>
        <w:t>E. 3.3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l'obligation de se soumettre à un traitement médical ou à des contrôles (let. f) et l'interdiction d'entretenir des relations avec certaines personnes (let. g). En l'espèce, l'instance précédente a considéré que les mesures de substitution proposées par le recourant, à savoir l'interdiction d'approcher ses nièces B.________ et D.________ ainsi que l'obligation de se soumettre à un traitement médical - n'étaient pas propres à écarter le risque de récidive. L'instance précédente peut également être suivie sur ce point. En effet, selon les experts, le déni du caractère délictueux de ses actes et d'un dysfonctionnement interne, l'absence de sentiments de honte ou de culpabilité ainsi que l'absence de reconnaissance d'un lien entre le comportement délictueux et les conséquences sur les victimes constituent des facteurs défavorables à la mise en ?uvre d'une mesure thérapeutique (cf. expertise p. 15 s.). Les experts indiquent néanmoins qu'un suivi psychothérapeutique est susceptible de diminuer le risque de nouvelles infractions. La mise en place d'un tel traitement médical - qui paraît avoir été acceptée par le recourant - ne saurait cependant conduire à sa libération immédiate; l'appréciation de l'instance précédente selon laquelle il convient d'attendre les premiers résultats de la mesure thérapeutique préconisée par les experts avant d'envisager la libération du prévenu et la poursuite de la mesure sous forme ambulatoire, ne prête pas le flanc à la critique. Enfin, la mesure concernant l'interdiction de prendre contact avec ses nièces ne paraît pas propre à écarter le risque général de récidive, dans la mesure où, comme relevé par la cour cantonale, le risque engendré par le trouble psychique diagnostiqué ne se limitait pas aux seuls proches du prévenu.</w:t>
      </w:r>
    </w:p>
    <w:p>
      <w:r>
        <w:rPr>
          <w:b/>
        </w:rPr>
        <w:t>E. 4</w:t>
      </w:r>
    </w:p>
    <w:p>
      <w:r>
        <w:t>Le recours doit par conséquent être rejeté. Conformément à l' art. 66 al. 1 LTF , les frais judiciaires sont à la charge du recourant.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