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1B_137/2019 vom 28. März 2019</w:t>
      </w:r>
    </w:p>
    <w:p>
      <w:r>
        <w:t>Bundesgericht, 2019-03-28, DE</w:t>
      </w:r>
    </w:p>
    <w:p>
      <w:r>
        <w:rPr>
          <w:b/>
        </w:rPr>
        <w:t xml:space="preserve">Quelle: </w:t>
      </w:r>
      <w:r>
        <w:t>https://mcp.opencaselaw.ch/entscheid/bger_1B_137_2019</w:t>
      </w:r>
    </w:p>
    <w:p>
      <w:r>
        <w:t>FR: TF 1B_137/2019 du 28 mars 2019</w:t>
      </w:r>
    </w:p>
    <w:p>
      <w:r>
        <w:t>IT: TF 1B_137/2019 del 28 marzo 2019</w:t>
      </w:r>
    </w:p>
    <w:p>
      <w:pPr>
        <w:pStyle w:val="Heading2"/>
      </w:pPr>
      <w:r>
        <w:t>Erwägungen</w:t>
      </w:r>
    </w:p>
    <w:p>
      <w:r>
        <w:rPr>
          <w:b/>
        </w:rPr>
        <w:t>E. 1</w:t>
      </w:r>
    </w:p>
    <w:p>
      <w:r>
        <w:t>Die Regionale Staatsanwaltschaft Berner Jura-Seeland lehnte in einem Strafverfahren wegen versuchter vorsätzlicher Tötung, evtl. versuchter schwerer Körperverletzung, mit Verfügung vom 11. Februar 2019 ein Gesuch des Beschuldigten A.________ um Wechsel der amtlichen Verteidigung ab. Dagegen erhob A.________ Beschwerde, welche die Beschwerdekammer in Strafsachen des Obergerichts des Kantons Bern mit Beschluss vom 4. März 2019 abwies. Sie führte zur Begründung zusammenfassend aus, dass die Mandatsführung des amtlichen Verteidigers unter objektiven Gesichtspunkten nicht zu beanstanden sei. Auch würden konkrete, über das subjektive Empfinden hinausgehende Anhaltspunkte, die in nachvollziehbarer Weise auf eine Störung des Vertrauensverhältnisses schliessen liessen, fehlen.</w:t>
      </w:r>
    </w:p>
    <w:p>
      <w:r>
        <w:rPr>
          <w:b/>
        </w:rPr>
        <w:t>E. 2</w:t>
      </w:r>
    </w:p>
    <w:p>
      <w:r>
        <w:t>A.________ führt mit Eingabe vom 19. März 2019 (Postaufgabe 22. März 2019)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der keinen zulässigen Beschwerdegrund nennt, setzt sich nicht mit den Ausführungen der Beschwerdekammer auseinander. Er vermag nicht ansatzweise aufzuzeigen, inwiefern die Begründung der Beschwerdekammer, die zur Abweisung seiner Beschwerde führte, bzw. der Beschluss der Beschwerdekammer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