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1B_137/2018 vom 4. Juni 2018</w:t>
      </w:r>
    </w:p>
    <w:p>
      <w:r>
        <w:t>Bundesgericht, 2018-06-04, DE</w:t>
      </w:r>
    </w:p>
    <w:p>
      <w:r>
        <w:rPr>
          <w:b/>
        </w:rPr>
        <w:t xml:space="preserve">Quelle: </w:t>
      </w:r>
      <w:r>
        <w:t>https://mcp.opencaselaw.ch/entscheid/bger_1B_137_2018</w:t>
      </w:r>
    </w:p>
    <w:p>
      <w:r>
        <w:t>FR: TF 1B_137/2018 du 4 juin 2018</w:t>
      </w:r>
    </w:p>
    <w:p>
      <w:r>
        <w:t>IT: TF 1B_137/2018 del 4 giugno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grundsätzlich einzutreten.</w:t>
      </w:r>
    </w:p>
    <w:p>
      <w:r>
        <w:rPr>
          <w:b/>
        </w:rPr>
        <w:t>E. 2.1</w:t>
      </w:r>
    </w:p>
    <w:p>
      <w:r>
        <w:t>Der Beschwerdeführer verlangt den Ausstand von Bundesrichter Karlen. Zur Begründung führt er an, Bundesrichter Karlen sei Mitglied der SVP, die aktiv auf die Abschaffung bzw. Kündigung der EMRK hinwirke und dabei Halbwahrheiten verbreite. Im vorliegenden Verfahren rechtfertige sich deshalb der Ausstand sämtlicher "SVP-Richter".</w:t>
      </w:r>
    </w:p>
    <w:p>
      <w:r>
        <w:rPr>
          <w:b/>
        </w:rPr>
        <w:t>E. 2.2</w:t>
      </w:r>
    </w:p>
    <w:p>
      <w:r>
        <w:t>Die Parteizugehörigkeit bzw. die politische Einstellung eines Richters stellt für sich allein weder nach der Rechtsprechung des Bundesgerichts noch des EGMR einen Ausstandsgrund dar (Urteil 6B_1043/2014 vom 25. November 2014 E. 2; Entscheid des EGMR</w:t>
      </w:r>
    </w:p>
    <w:p>
      <w:r>
        <w:t>Previti gegen Italien vom 8. Dezember 2009, Nr. 45291/06 Ziff. 258; je mit Hinweisen). Das Argument des Beschwerdeführers, die betreffende Partei sei der EMRK gegenüber negativ eingestellt und verbreite Halbwahrheiten, ändert daran nichts. Das Ausstandsbegehren erweist sich somit als untauglich und unzulässig. Ein Ausstandsverfahren nach Art. 37 BGG ist nicht durchzuführen (vgl. Urteile 1C_187/2017 vom 20. März 2018 E. 4.2; 6B_1043/2014 vom 25. November 2014 E. 2; je mit Hinweisen).</w:t>
      </w:r>
    </w:p>
    <w:p>
      <w:r>
        <w:rPr>
          <w:b/>
        </w:rPr>
        <w:t>E. 3.1</w:t>
      </w:r>
    </w:p>
    <w:p>
      <w:r>
        <w:t>Der Beschwerdeführer verlangt, es sei ihm mit einem begründeten Entscheid bekanntzugeben, welche Bundesrichter am Entscheid mitwirken.</w:t>
      </w:r>
    </w:p>
    <w:p>
      <w:r>
        <w:rPr>
          <w:b/>
        </w:rPr>
        <w:t>E. 3.2</w:t>
      </w:r>
    </w:p>
    <w:p>
      <w:r>
        <w:t>Das verfassungsmässige Recht auf einen unabhängigen und unparteiischen Richter umfasst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Der Beschwerdeführer kennt diese offensichtlich auch, wie insbesondere aus seinem Ausstandsgesuch hervorgeht. Sein Antrag ist somit abzuweisen (zum Ganzen: zur Publ. vorgesehenes Urteil 6B_1356/2016 vom 5. Januar 2018 E. 2.3.3 mit Hinweisen).</w:t>
      </w:r>
    </w:p>
    <w:p>
      <w:r>
        <w:rPr>
          <w:b/>
        </w:rPr>
        <w:t>E. 4.1</w:t>
      </w:r>
    </w:p>
    <w:p>
      <w:r>
        <w:t>Der Beschwerdeführer macht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4.2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Es sei auch zu berücksichtigen, dass die Bundesrichter nur für eine relativ kurze Amtszeit von sechs Jahren gewählt würden und damit verstärkt politischem Druck ausgesetzt seien.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4.3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4.4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4.3 hiervor), weshalb es sich erübrigt, auf seine diesbezüglichen Vorbringen im Einzelnen einzugehen. Die Amtsdauer der Bundesrichter von sechs Jahren ( Art. 145 BV und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und ist auch nicht ersichtlich. Er behauptet im Übrigen auch nicht, dass im vorliegenden Fall von Aussen versucht worden sei, auf das Verfahren Einfluss zu nehmen.</w:t>
      </w:r>
    </w:p>
    <w:p>
      <w:r>
        <w:rPr>
          <w:b/>
        </w:rPr>
        <w:t>E. 4.5</w:t>
      </w:r>
    </w:p>
    <w:p>
      <w:r>
        <w:t>Die Rüge der Verletzung von Art. 6 EMRK ist somit unbegründet, und der Spruchkörper ist in der dargestellten üblichen Weise zu besetzen.</w:t>
      </w:r>
    </w:p>
    <w:p>
      <w:r>
        <w:rPr>
          <w:b/>
        </w:rPr>
        <w:t>E. 5.1</w:t>
      </w:r>
    </w:p>
    <w:p>
      <w:r>
        <w:t>Der Beschwerdeführer kritisiert im Wesentlichen,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und wenn ein Geschäftsverteilungsplan nicht publiziert werde. Die Verwendung einer Tabelle für die Geschäftsverteilung sei gesetzlich nicht vorgesehen. Es sei zudem bisher in der Strafabteilung nie behauptet worden, es gebe eine Excel-Tabelle. Nun werde eine solche offenbar unter der Aufsicht des Abteilungspräsidenten für Ersatzrichter verwendet, aber nicht für ordentliche Richter. Es erstaune, dass es für den Einsatz von Ersatzrichtern eine Liste gebe, für Oberrichter hingegen nicht. Die Situation in der Beschwerdekammer und in der Zivilabteilung sei anders. Er lehne deshalb den Spruchkörper in der Besetzung mit Oberrichterin Schnell, Oberrichter Stucki und Oberrichter Bähler (gemeint wohl: Obergerichtssuppleantin Falkner, Oberrichter Vicari und Oberrichterin Hubschmid Volz) ab. Der Mangel einer hinreichenden gesetzlichen Grundlage betreffe auch den Einsatz der Oberrichter Niklaus, Geiser und Kiener im Ausstandsverfahren sowie den Beizug der Obergerichtssuppleantin und deren Einsetzung als Vorsitzende.</w:t>
      </w:r>
    </w:p>
    <w:p>
      <w:r>
        <w:rPr>
          <w:b/>
        </w:rPr>
        <w:t>E. 5.2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5.3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5.4</w:t>
      </w:r>
    </w:p>
    <w:p>
      <w:r>
        <w:t>Die Vorinstanz führt aus, dem Rechtsvertreter des Beschwerdeführers sei die Anwendung von Art. 44 und 45 GSOG bereits einlässlich erläutert worden. Mit Schreiben vom 29. März 2017 habe ihm der Präsident der Strafabteilung mitgeteilt, dass am Obergericht kein Geschäftsverteilungsplan nach deutschem Vorbild bestehe. Die beiden Strafkammern erhielten die eingehenden Geschäfte abwechslungsweise je zur Hälfte. Kammerintern würden die Fälle fortlaufend nach Listen mit allen möglichen Zusammensetzungen zugeteilt, wobei die Anzahl Fälle als Referent vom Umfang der Tätigkeit für die Strafkammern abhänge. Die Oberrichter seien an dieser mit Hilfe durch das Sekretariat bewirtschafteter Listen und nach dem Zufallsprinzip erfolgenden Spruchkörperbildung nicht beteiligt.</w:t>
      </w:r>
    </w:p>
    <w:p>
      <w:r>
        <w:t>In ihrer Vernehmlassung vom 16. April 2018 weist die Vorinstanz darauf hin, dass die Ersatzrichter entgegen der Auffassung des Beschwerdeführers nicht mittels einer Excel-Tabelle, sondern anhand einer manuell bewirtschafteten Liste bestimmt würden.</w:t>
      </w:r>
    </w:p>
    <w:p>
      <w:r>
        <w:rPr>
          <w:b/>
        </w:rPr>
        <w:t>E. 5.5</w:t>
      </w:r>
    </w:p>
    <w:p>
      <w:r>
        <w:t>Zu prüfen ist vorliegend einzig, ob die Spruchkörperbesetzung in der Strafkammer des Obergerichts den konventionsrechlichen Anforderungen genügt. Die Hinweise des Beschwerdeführers auf eine abweichende Praxis in der Beschwerdekammer und der Zivilabteilung sind insofern ohne Bedeutung. Nicht nachvollziehbar sind zudem die Hinweise auf eine Excel-Tabelle. Gemäss den Ausführungen der Vorinstanz wird eine solche in der Strafabteilung nicht verwendet und der Beschwerdeführer legt auch nicht dar, wie er zu seiner Annahme gelangt. Unverständlich ist schliesslich die Behauptung, es sei erstaunlich, dass es für den Einsatz von Ersatzrichtern eine Liste gebe, für ordentliche Richter hingegen nicht. Aus dem angefochtenen Entscheid geht deutlich hervor, dass sowohl für den Einsatz von ordentlichen Richtern als auch für denjenigen von Ersatzrichtern eine Liste verwendet wird. Wie der Beschwerdeführer zur gegenteiligen Annahme kommt, legt er ebenfalls nicht dar (Art. 97 Abs. 1 i.V.m. Art. 42 Abs. 2 BGG ).</w:t>
      </w:r>
    </w:p>
    <w:p>
      <w:r>
        <w:rPr>
          <w:b/>
        </w:rPr>
        <w:t>E. 5.6</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Diese Ausführungen, welche die Spruchkörperbildung in der Beschwerdekammer zum Gegenstand hatten, gelten vorliegend, wo es um die Strafkammern geht, umso mehr, zumal die Spruchkörperbildung gemäss den Darlegungen der Vorinstanz hier nach Listen und gestützt auf das Zufallsprinzip erfolgt. Dass dieses Vorgehen Art. 44 Abs. 1 GSOG widerspricht, ist nicht ersichtlich. Nach den vorinstanzlichen Ausführungen kommt dem Sekretariat bei der Verwaltung der Listen kein Ermessen zu (vgl. Urteil 1C_187/2017 vom 20. März 2018 E. 7).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5.7</w:t>
      </w:r>
    </w:p>
    <w:p>
      <w:r>
        <w:t>Zum Beizug von Ersatzrichtern (Obergerichtssuppleanten) führte die Vorinstanz aus, dieser basiere gleich wie der Einsatz der ordentlichen Oberrichter auf Art. 44 und 45 GSOG. Art. 20 Abs. 6 GSOG sehe zudem vor, dass Ersatzrichter zur Entlastung eingesetzt würden. Gemäss der langjährigen Praxis teile der jeweilige Vorsitzende dem Abteilungspräsidenten den Bedarf eines Ersatzrichters mit. Im Einvernehmen mit dem Abteilungspräsidenten werde anschliessend anhand einer von der Sekretariatsleitung bewirtschafteten Liste ein Ersatzrichter bestimmt. Berücksichtigt würden dabei namentlich die Verfügbarkeit der Ersatzrichter, eine gleichmässige Verteilung der Einsätze sowie der Umstand, dass der Betreffende nicht Mitglied des Regionalgerichts sein sollte, dessen Urteil zu überprüfen sei. Durch dieses Vorgehen werde die Bestimmung des Spruchkörpers weiter objektiviert. Die Ersatzrichter würden im Übrigen wie die ordentlichen Richter gewählt und seien im Staatskalender ersichtlich.</w:t>
      </w:r>
    </w:p>
    <w:p>
      <w:r>
        <w:rPr>
          <w:b/>
        </w:rPr>
        <w:t>E. 5.8</w:t>
      </w:r>
    </w:p>
    <w:p>
      <w:r>
        <w:t>Auch in dieser Hinsicht ist der angefochtene Entscheid nicht zu beanstanden. Gemäss Art. 20 Abs. 6 GSOG werden Ersatzrichterinnen und -richter sowie Ersatzmitglieder zur Entlastung eingesetzt. Wie bereits erwähnt, verlangen zudem weder die Bundesverfassung noch die EMRK, dass bei der Spruchkörperbesetzung jegliches Ermessen ausgeschlossen wird. Dies gilt auch für die Auswahl des beizuziehenden Ersatzrichters. Die von der Vorinstanz genannten drei Kriterien sind sachlicher Natur und beruhen gemäss den Ausführungen im angefochtenen Entscheid darüber hinaus auf einer gefestigten Praxis. Die Spruchkörperbildung erscheint damit auch mit Blick auf den Beizug von Ersatzrichtern hinreichend regelgebunden (vgl. Urteil 1C_187/ 2017 vom 20. März 2018 E. 6.6). Dass die von der Vorinstanz dargelegte aktuelle Ferienplanung unter den konkreten Umständen einen sachlichen Grund darstellt, bestreitet der Beschwerdeführer nicht ( Art. 42 Abs. 2 BGG ). Er macht einzig geltend, der Vorgang entbehre einer gesetzlichen Grundlage, was nach dem Ausgeführten jedoch unzutreffend ist.</w:t>
      </w:r>
    </w:p>
    <w:p>
      <w:r>
        <w:rPr>
          <w:b/>
        </w:rPr>
        <w:t>E. 6.1</w:t>
      </w:r>
    </w:p>
    <w:p>
      <w:r>
        <w:t>Der Beschwerdeführer bringt vor, die Vorinstanz habe unter Verdrehung der Tatsachen die Verfahrenskosten seinem Rechtsvertreter auferlegt, was auf eine Feindschaft diesem gegenüber schliessen lasse. Dies stelle einen Ausstandsgrund dar.</w:t>
      </w:r>
    </w:p>
    <w:p>
      <w:r>
        <w:rPr>
          <w:b/>
        </w:rPr>
        <w:t>E. 6.2</w:t>
      </w:r>
    </w:p>
    <w:p>
      <w:r>
        <w:t>Das Obergericht begründete die Kostenauflage gestützt auf Art. 417 StPO damit, dass der Rechtsvertreter bei Beachtung minimaler Sorgfaltspflichten die Aussichtslosigkeit seiner Eingabe hätte erkennen können. Dabei berücksichtigte es, dass er bereits im Oktober und November 2017 insgesamt 13 Ausstandsgesuche bei der Strafabteilung des Obergerichts eingereicht und jeweils eine Verletzung von Art. 6 EMRK gerügt hatte.</w:t>
      </w:r>
    </w:p>
    <w:p>
      <w:r>
        <w:rPr>
          <w:b/>
        </w:rPr>
        <w:t>E. 6.3</w:t>
      </w:r>
    </w:p>
    <w:p>
      <w:r>
        <w:t>Der Beschwerdeführer macht weder geltend, dass die Kostenauflage in Verletzung von Art. 417 StPO erfolgte, noch begründet er seinen Vorwurf, das Obergericht habe die Tatsachen verdreht. Unter diesen Voraussetzungen ist kein Ausstandsgrund erkennbar, soweit die Rüge überhaupt hinreichend substanziiert wurde.</w:t>
      </w:r>
    </w:p>
    <w:p>
      <w:r>
        <w:rPr>
          <w:b/>
        </w:rPr>
        <w:t>E. 7</w:t>
      </w:r>
    </w:p>
    <w:p>
      <w:r>
        <w:t>Die Beschwerde ist deshalb abzuweisen, soweit darauf einzutreten ist.</w:t>
      </w:r>
    </w:p>
    <w:p>
      <w:r>
        <w:t>Der Beschwerdeführer stellt ein Gesuch um unentgeltliche Prozessführung und Rechtsverbeiständung. Da die gesetzlichen Voraussetzungen erfüllt sind, kann dem Gesuch entsprochen werden ( Art. 64 BGG ). Bei der Bemessung der Entschädigung ist zu berücksichtigen, dass die Beschwerde eine fast wörtliche Kopie von bereits in anderen Verfahren beim Bundesgericht eingereichten Beschwerden darstellt. Es ist dem Rechtsvertreter des Beschwerdeführers somit nur ein geringer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