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137/2017 vom 6. April 2017</w:t>
      </w:r>
    </w:p>
    <w:p>
      <w:r>
        <w:t>Bundesgericht, 2017-04-06, DE</w:t>
      </w:r>
    </w:p>
    <w:p>
      <w:r>
        <w:rPr>
          <w:b/>
        </w:rPr>
        <w:t xml:space="preserve">Quelle: </w:t>
      </w:r>
      <w:r>
        <w:t>https://mcp.opencaselaw.ch/entscheid/bger_1B_137_2017</w:t>
      </w:r>
    </w:p>
    <w:p>
      <w:r>
        <w:t>FR: TF 1B 137/2017 du 6 avril 2017</w:t>
      </w:r>
    </w:p>
    <w:p>
      <w:r>
        <w:t>IT: TF 1B 137/2017 del 6 aprile 2017</w:t>
      </w:r>
    </w:p>
    <w:p>
      <w:pPr>
        <w:pStyle w:val="Heading2"/>
      </w:pPr>
      <w:r>
        <w:t>Regeste</w:t>
      </w:r>
    </w:p>
    <w:p>
      <w:r>
        <w:t>Strafverfahren; Einstellung | Strafprozess</w:t>
      </w:r>
    </w:p>
    <w:p>
      <w:pPr>
        <w:pStyle w:val="Heading2"/>
      </w:pPr>
      <w:r>
        <w:t>Erwägungen</w:t>
      </w:r>
    </w:p>
    <w:p>
      <w:r>
        <w:rPr>
          <w:b/>
        </w:rPr>
        <w:t>E. 1</w:t>
      </w:r>
    </w:p>
    <w:p>
      <w:r>
        <w:t>B.________ stellte am 13. April 2014 bei der Kantonspolizei Zürich Strafantrag gegen A.________ wegen Tätlichkeiten. Das Statthalteramt des Bezirks Horgen stellte mit Verfügung vom 1. Dezember 2016 das Strafverfahren zum insgesamt dritten Mal ein. Gegen diese Einstellungsverfügung erhob B.________ mit Eingabe vom 7. Dezember 2016 Beschwerde. Die III. Strafkammer des Obergerichts des Kantons Zürich hiess mit Verfügung vom 23. Februar 2017 die Beschwerde gut, hob die Einstellungsverfügung des Statthalteramts des Bezirks Horgen vom 1. Dezember 2016 auf und wies das Statthalteramt an, einen Strafbefehl bzw. eine Strafverfügung auszustellen.</w:t>
      </w:r>
    </w:p>
    <w:p>
      <w:r>
        <w:rPr>
          <w:b/>
        </w:rPr>
        <w:t>E. 2</w:t>
      </w:r>
    </w:p>
    <w:p>
      <w:r>
        <w:t>A.________ führt mit Eingabe vom 3. April 2017 Beschwerde in Strafsachen gegen die Verfügung der III. Strafkammer des Obergerichts des Kantons Zürich vom 23. Februar 2017. Das Bundesgericht verzichtet auf die Einholung von Vernehmlassungen.</w:t>
      </w:r>
    </w:p>
    <w:p>
      <w:r>
        <w:rPr>
          <w:b/>
        </w:rPr>
        <w:t>E. 3.1</w:t>
      </w:r>
    </w:p>
    <w:p>
      <w:r>
        <w:t>Die Verfügung der III. Strafkammer des Obergerichts des Kantons Zürich schliesst das Strafverfahren gegen den Beschwerdeführer nicht ab. Es handelt sich somit um einen Zwischenentscheid. Unter dem Vorbehalt der hier nicht gegebenen Fälle von Art. 92 BGG ist die Beschwerde gegen einen selbstständig eröffneten Zwischenentscheid nur zulässig, wenn dieser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möglichst nur einmal mit einer Sache befassen ( BGE 135 II 30 E. 1.3.2 S. 34). Gegen einstweilen nicht anfechtbare Zwischenentscheide steht die Beschwerde daher erst im Anschluss an den Endentscheid offen (vgl. Art. 93 Abs. 3 BGG ).</w:t>
      </w:r>
    </w:p>
    <w:p>
      <w:r>
        <w:rPr>
          <w:b/>
        </w:rPr>
        <w:t>E. 3.2</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Der Beschwerdeführer behauptet einen nicht wieder gutzumachenden Nachteil im Sinne von Art. 93 Abs. 1 lit. a BGG .</w:t>
      </w:r>
    </w:p>
    <w:p>
      <w:r>
        <w:rPr>
          <w:b/>
        </w:rPr>
        <w:t>E. 3.3</w:t>
      </w:r>
    </w:p>
    <w:p>
      <w:r>
        <w:t>Nach der Rechtsprechung muss es sich beim nicht wieder gutzumachenden Nachteil gemäss Art. 93 Abs. 1 lit. a BGG im Bereich der Beschwerde in Strafsachen um einen solchen rechtlicher Natur handeln. Ein derartiger Nachteil liegt vor, wenn er auch durch einen für den Beschwerdeführer günstigen späteren Entscheid nicht mehr behoben werden kann. Die blosse Verlängerung oder Verteuerung des Verfahrens genügt nicht ( BGE 141 III 80 E. 1.2 S. 80; BGE 139 IV 113 E. 1 S. 115 mit Hinweisen).</w:t>
      </w:r>
    </w:p>
    <w:p>
      <w:r>
        <w:rPr>
          <w:b/>
        </w:rPr>
        <w:t>E. 3.4</w:t>
      </w:r>
    </w:p>
    <w:p>
      <w:r>
        <w:t>Gemäss bundesgerichtlicher Rechtsprechung begründet die Durchführung bzw. Weiterführung eines Strafverfahrens keinen Nachteil rechtlicher Natur, der mit einem für den Angeschuldigten günstigen Entscheid nicht behoben werden könnte ( BGE 133 IV 139 E. 4 S. 141). Der Beschwerdeführer befürchtet indessen, dass ein freisprechender Endentscheid infolge des Eintretens der Verjährung ( Art. 109 StGB ) nicht mehr möglich wäre. Diese Befürchtung ist bereits deshalb unbegründet, weil auch bei Übertretungen die Verfolgungsverjährung nach einem erstinstanzlichen Urteil nicht mehr eintritt ( Art. 104 StGB in Verbindung mit Art. 97 Abs. 3 StGB , vgl. BGE 135 IV 196 E. 2). Ein nicht wieder gutzumachender Nachteil im Sinne von Art. 93 Abs. 1 lit. a BGG liegt somit offensichtlich nicht vor, weshalb im vereinfachten Verfahren nach Art. 108 Abs. 1 BGG auf die Beschwerde nicht einzutreten ist.</w:t>
      </w:r>
    </w:p>
    <w:p>
      <w:r>
        <w:rPr>
          <w:b/>
        </w:rPr>
        <w:t>E. 4</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