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136/2023 vom 12. April 2023</w:t>
      </w:r>
    </w:p>
    <w:p>
      <w:r>
        <w:t>Bundesgericht, 2023-04-12, DE</w:t>
      </w:r>
    </w:p>
    <w:p>
      <w:r>
        <w:rPr>
          <w:b/>
        </w:rPr>
        <w:t xml:space="preserve">Quelle: </w:t>
      </w:r>
      <w:r>
        <w:t>https://mcp.opencaselaw.ch/entscheid/bger_1B_136_2023</w:t>
      </w:r>
    </w:p>
    <w:p>
      <w:r>
        <w:t>FR: TF 1B 136/2023 du 12 avril 2023</w:t>
      </w:r>
    </w:p>
    <w:p>
      <w:r>
        <w:t>IT: TF 1B 136/2023 del 12 aprile 2023</w:t>
      </w:r>
    </w:p>
    <w:p>
      <w:pPr>
        <w:pStyle w:val="Heading2"/>
      </w:pPr>
      <w:r>
        <w:t>Regeste</w:t>
      </w:r>
    </w:p>
    <w:p>
      <w:r>
        <w:t>Strafverfahren; Sistierung | Strafprozess</w:t>
      </w:r>
    </w:p>
    <w:p>
      <w:pPr>
        <w:pStyle w:val="Heading2"/>
      </w:pPr>
      <w:r>
        <w:t>Erwägungen</w:t>
      </w:r>
    </w:p>
    <w:p>
      <w:r>
        <w:rPr>
          <w:b/>
        </w:rPr>
        <w:t>E. 1</w:t>
      </w:r>
    </w:p>
    <w:p>
      <w:r>
        <w:t>Am 17. August 2022 verurteilte die Gerichtspräsidentin des Regionalgerichts Emmental-Oberaargau, Julia Scheer, A.________ wegen versuchter Nötigung etc. Dieser erhob dagegen einerseits Berufung ans Obergericht des Kantons Bern und reichte anderseits eine Strafanzeige gegen Julia Scheer wegen Amtsmissbrauchs ein. Gestützt auf die Strafanzeige eröffnete die Kantonale Staatsanwaltschaft für Besondere Aufgaben am 19. Dezember 2022 ein Strafverfahren gegen Julia Scheer wegen Amtsmissbrauchs und sistierte es sogleich. Mit Beschwerde vom 16. Januar 2023 beantragte A.________, die Verfügung der Staatsanwaltschaft sei insoweit aufzuheben, als sie das Strafverfahren sistiere; dieses sei fortzuführen. Mit Beschluss vom 25. Januar 2023 wies das Obergericht die von A.________ dagegen erhobene Beschwerde ab, soweit es darauf eintrat. Mit Eingaben vom 27. Februar 2023 und vom 10. März 2023 erhebt A.________ Beschwerde gegen diesen Beschluss und beantragt u.a., ihn aufzuheben und das Strafverfahren gegen Julia Scheer einzuleiten. Ausserdem ersucht er um unentgeltliche Rechtspflege. Vernehmlassungen wurden keine eingeholt.</w:t>
      </w:r>
    </w:p>
    <w:p>
      <w:r>
        <w:rPr>
          <w:b/>
        </w:rPr>
        <w:t>E. 2.1</w:t>
      </w:r>
    </w:p>
    <w:p>
      <w:r>
        <w:t>Angefochten ist ein kantonal letztinstanzlicher Entscheid, mit dem das Obergericht eine Beschwerde gegen die Sistierung eines Strafverfahrens abgewiesen hat, soweit es darauf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2.2</w:t>
      </w:r>
    </w:p>
    <w:p>
      <w:r>
        <w:t>Gegenstand des vorliegenden Verfahrens kann einzig die Frage sein, ob das Obergericht Bundesrecht verletzte, indem es die Sistierung des vom Beschwerdeführer angeregten Strafverfahrens schützte. Soweit der Beschwerdeführer anderes vorbringt - es seien ihm Entschädigungen und Genugtuungen zuzusprechen, gegen verschiedene Oberrichter seien Strafverfahren einzuleiten, ein Urteil des Verwaltungsgerichts vom 14. November 2022 sei aufzuheben, ein Konkursverfahren sei nichtig und aufzuheben, etc. - ist darauf, weil ausserhalb des Streitgegenstandes liegend, von vornherein nicht einzutreten.</w:t>
      </w:r>
    </w:p>
    <w:p>
      <w:r>
        <w:rPr>
          <w:b/>
        </w:rPr>
        <w:t>E. 2.3</w:t>
      </w:r>
    </w:p>
    <w:p>
      <w:r>
        <w:t>Der Beschwerdeführer legt nicht dar, inwiefern ihm durch die Sistierung des Verfahrens ein nicht wiedergutzumachender Nachteil rechtlicher Natur droht, und das ist auch nicht offensichtlich. Auf die Beschwerde ist damit wegen Verletzung der Begründungspflicht im vereinfachten Verfahren nicht einzutreten.</w:t>
      </w:r>
    </w:p>
    <w:p>
      <w:r>
        <w:rPr>
          <w:b/>
        </w:rPr>
        <w:t>E. 2.4</w:t>
      </w:r>
    </w:p>
    <w:p>
      <w:r>
        <w:t>Das Gesuch um unentgeltliche Rechtspflege ist abzuweisen, da die Beschwerde aussichtslos war ( Art. 64 Abs. 1 BGG ). Es rechtfertigt sich hingegen, von der Auferlegung von Kosten ausnahmsweise abzusehen.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