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1B_136/2010 vom 22. Juli 2010</w:t>
      </w:r>
    </w:p>
    <w:p>
      <w:r>
        <w:t>Bundesgericht, 2010-07-22, DE</w:t>
      </w:r>
    </w:p>
    <w:p>
      <w:r>
        <w:rPr>
          <w:b/>
        </w:rPr>
        <w:t xml:space="preserve">Quelle: </w:t>
      </w:r>
      <w:r>
        <w:t>https://mcp.opencaselaw.ch/entscheid/bger_1B_136_2010</w:t>
      </w:r>
    </w:p>
    <w:p>
      <w:r>
        <w:t>FR: TF 1B_136/2010 du 22 juillet 2010</w:t>
      </w:r>
    </w:p>
    <w:p>
      <w:r>
        <w:t>IT: TF 1B_136/2010 del 22 luglio 2010</w:t>
      </w:r>
    </w:p>
    <w:p>
      <w:pPr>
        <w:pStyle w:val="Heading2"/>
      </w:pPr>
      <w:r>
        <w:t>Erwägungen</w:t>
      </w:r>
    </w:p>
    <w:p>
      <w:r>
        <w:rPr>
          <w:b/>
        </w:rPr>
        <w:t>E. 1</w:t>
      </w:r>
    </w:p>
    <w:p>
      <w:r>
        <w:t>Angefochten ist ein kantonal letztinstanzlicher Rechtsmittelentscheid über eine Haftentlassung. Dagegen ist die Beschwerde in Strafsachen nach den Art. 78 ff. BGG ist gegeben.</w:t>
      </w:r>
    </w:p>
    <w:p>
      <w:r>
        <w:t>Nach Art. 81 Abs. 1 BGG ist zur Beschwerde berechtigt, wer am Verfahren vor der Vorinstanz teilgenommen hat und ein rechtlich geschütztes Interesse an der Aufhebung oder Änderung des angefochtenen Entscheids hat. Da das Bundesgericht nur konkrete und keine bloss theoretischen Fragen entscheidet, tritt es aus Gründen der Prozessökonomie auf Beschwerden nur ein, wenn die Beschwerdeführer ein aktuelles praktisches Interesse an ihrer Behandlung haben ( BGE 133 II 81 E. 3 S. 84 ; 125 I 394 E. 4a S. 397; je mit Hinweisen).</w:t>
      </w:r>
    </w:p>
    <w:p>
      <w:r>
        <w:t>Wird ein Untersuchungsgefangener aus der Haft entlassen, obwohl ein Haftgrund besteht, kann das die Fortführung des Strafverfahrens erschweren oder gar vereiteln. Die Staatsanwaltschaft, die verpflichtet ist, eine Strafuntersuchung durchzuführen, wenn ihr konkrete Anhaltspunkte auf eine von Amtes wegen zu verfolgende Straftat vorliegen (Art. 61 Abs. 1 des Strafprozessgesetzes des Kantons St. Gallen vom 1. Juli 1999, StP), hat somit grundsätzlich ein Rechtsschutzinteresse, sich gegen die aus ihrer Sicht ungerechtfertigte Entlassung eines Angeschuldigten aus der Untersuchungshaft zur Wehr zu setzen. Vorliegend hat allerdings der Untersuchungsrichter den Haftentscheid vom 4. Dezember 2009 insoweit vollzogen, als er veranlasste, den Beschwerdegegner am 9. Dezember 2009 aus der Untersuchungshaft zu entlassen. Er hat nichts unternommen, um den Vollzug des Haftentscheids vom 4. Dezember 2009 zu hemmen, und auch die Staatsanwaltschaft, die diesen am 23. Dezember 2009 mit Rechtsverweigerungsbeschwerde anfocht, unterliess es, dem Präsidenten der Anklagekammer zu beantragen, ihrer Beschwerde eine vollzugshemmende Wirkung zuzuerkennen, wozu sie nach Art. 256 Abs. 3 StP befugt gewesen wäre. Bei Einreichung ihrer Beschwerde ans Bundesgericht vom 29. April 2010 befand sich der Beschwerdegegner somit bereits rund 4 ½ Monate in Freiheit. Unter diesen Umständen verfügt die Staatsanwaltschaft offensichtlich nicht mehr über ein aktuelles Rechtsschutzinteresse an der Prüfung der Frage, ob der Beschwerdegegner damals zu Recht oder Unrecht aus der Haft entlassen worden war. Dies umso weniger, als sie bei veränderter Sachlage, etwa wenn sich entsprechend ihrer Befürchtung Hinweise auf eine erneute deliktische Tätigkeit des Beschwerdegegners ergäben, wiederum Zwangsmassnahmen gegen ihn ergreifen kann. Auf die Beschwerde ist somit mangels eines aktuellen Rechtsschutzinteresses nicht einzutreten.</w:t>
      </w:r>
    </w:p>
    <w:p>
      <w:r>
        <w:t>Allerdings verzichtet das Bundesgericht ausnahmsweise auf das Erfordernis des aktuellen praktischen Interesses, namentlich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125 I 394 E. 4b zu Art. 88 OG ; die Praxis gilt auch unter der Herrschaft des BGG weiter, BGE 133 IV 267 nicht publizierte E. 2.1 und Entscheid 1C_89/2007 vom 13. Juli 2007 E. 1.3). Vorliegend ergibt sich zwar aus der Beschwerde, dass es der Staatsanwaltschaft nicht nur um den vorliegenden Einzelfall des Beschwerdegegners geht, sondern um die Klärung grundsätzlicher Kompetenzfragen zwischen Untersuchungsrichter und Haftrichter nach dem kantonalen Strafprozessgesetz. Sie legt allerdings unter Verletzung ihrer gesetzlichen Begründungspflicht ( BGE 134 II 244 E. 2; 133 IV 286 E. 1.4) nicht dar, dass und inwiefern ihre Beschwerde nach der dargelegten Praxis trotz fehlenden aktuellen Rechtsschutzinteresses zu behandeln wäre, was ein ausnahmsweises Eintreten von vornherein ausschliesst. Da die kantonalen Strafprozessordnungen mit dem Inkrafttreten der Schweizerischen Strafprozessordnung am 1. Januar 2011 (AS 2010 2020) ihre Anwendbarkeit verlieren, bestünde im Übrigen auch kein hinreichendes öffentliches Interesse mehr an der Klärung der aufgeworfenen Zuständigkeitsfragen, das ein ausnahmsweises Eintreten auf die Beschwerde rechtfertigen würde.</w:t>
      </w:r>
    </w:p>
    <w:p>
      <w:r>
        <w:rPr>
          <w:b/>
        </w:rPr>
        <w:t>E. 2</w:t>
      </w:r>
    </w:p>
    <w:p>
      <w:r>
        <w:t>Auf die Beschwerde ist somit nicht einzutreten. Bei diesem Ausgang des Verfahrens sind keine Kosten zu erheben ( Art. 66 Abs. 4 BGG ), und der Kanton St. Gallen hat den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