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136/2009 vom 11. August 2009</w:t>
      </w:r>
    </w:p>
    <w:p>
      <w:r>
        <w:t>Bundesgericht, 2009-08-11, FR</w:t>
      </w:r>
    </w:p>
    <w:p>
      <w:r>
        <w:rPr>
          <w:b/>
        </w:rPr>
        <w:t xml:space="preserve">Quelle: </w:t>
      </w:r>
      <w:r>
        <w:t>https://mcp.opencaselaw.ch/entscheid/bger_1B_136_2009</w:t>
      </w:r>
    </w:p>
    <w:p>
      <w:r>
        <w:t>FR: TF 1B 136/2009 du 11 août 2009</w:t>
      </w:r>
    </w:p>
    <w:p>
      <w:r>
        <w:t>IT: TF 1B 136/2009 del 11 agosto 2009</w:t>
      </w:r>
    </w:p>
    <w:p>
      <w:pPr>
        <w:pStyle w:val="Heading2"/>
      </w:pPr>
      <w:r>
        <w:t>Regeste</w:t>
      </w:r>
    </w:p>
    <w:p>
      <w:r>
        <w:t>saisie conservatoire | Procédure pénale</w:t>
      </w:r>
    </w:p>
    <w:p>
      <w:pPr>
        <w:pStyle w:val="Heading2"/>
      </w:pPr>
      <w:r>
        <w:t>Erwägungen</w:t>
      </w:r>
    </w:p>
    <w:p>
      <w:r>
        <w:rPr>
          <w:b/>
        </w:rPr>
        <w:t>E. 1</w:t>
      </w:r>
    </w:p>
    <w:p>
      <w:r>
        <w:t>Le Tribunal fédéral examine d'office et librement la recevabilité des recours qui lui sont soumis ( ATF 134 III 235 consid. 1 p. 236). Le recourant a indiqué déposer un "recours de droit pénal et recours de droit public" et un "recours de droit public en arbitraire et inégalité de traitement" auprès du Tribunal fédéral. L'intitulé erroné du recours ne saurait porter préjudice au recourant, pour autant que son écriture remplisse les conditions formelles de la voie de droit qui lui est ouverte (au sujet d'une voie erronée de recours, ATF 133 I 300 consid. 1.2 p. 302 s., 308 consid. 4.1 p. 314), soit en l'occurrence le recours en matière de droit pénal.</w:t>
      </w:r>
    </w:p>
    <w:p>
      <w:r>
        <w:rPr>
          <w:b/>
        </w:rPr>
        <w:t>E. 1.1</w:t>
      </w:r>
    </w:p>
    <w:p>
      <w:r>
        <w:t>Le recours en matière pénale, au sens de l' art. 78 al. 1 LTF , est ouvert contre une décision de saisie prise au cours de la procédure pénale, et confirmée en dernière instance cantonale ( art. 80 LTF ).</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relative à l' art. 87 al. 2 OJ , et reprise dans le cadre de l' art. 93 LTF ,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261s). Les critiques de nature appellatoire sont irrecevables (cf. ATF 133 III 585 consid. 4. p. 589; 130 I 258 consid. 1.3 et les arrêts cités). En l'espèce, le "recours de droit public et recours de droit pénal" ne satisfait aucunement à ces exigences, le recourant ne se prévalant de la violation d'aucun droit constitutionnel et ne démontrant a fortiori pas en quoi les considérants de la Chambre d'accusation seraient contraires à la Constitution. Il doit dès lors être déclaré irrecevable. En revanche, il y a lieu d'entrer en matière sur le "recours de droit public en arbitraire et inégalité de traitement", dans la mesure où il comporte des griefs fondés sur la violation de droits constitutionnels.</w:t>
      </w:r>
    </w:p>
    <w:p>
      <w:r>
        <w:rPr>
          <w:b/>
        </w:rPr>
        <w:t>E. 2</w:t>
      </w:r>
    </w:p>
    <w:p>
      <w:r>
        <w:t>Dans la première partie de son écriture, le recourant présente son propre exposé des événements. Il se plaint implicitement d'arbitraire dans l'établissement des faits et dans l'appréciation des preuves.</w:t>
      </w:r>
    </w:p>
    <w:p>
      <w:r>
        <w:rPr>
          <w:b/>
        </w:rPr>
        <w:t>E. 2.1</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263 consid. 3.1 p. 266; 132 I 13 consid. 5.1 p. 17; 131 I 217 consid. 2.1 p. 219, 57 consid. 2 p. 61; 129 I 173 consid. 3.1 p. 178).</w:t>
      </w:r>
    </w:p>
    <w:p>
      <w:r>
        <w:rPr>
          <w:b/>
        </w:rPr>
        <w:t>E. 2.2</w:t>
      </w:r>
    </w:p>
    <w:p>
      <w:r>
        <w:t>Pour autant qu'on le comprenne, le recourant tente la démonstration que les fonds saisis correspondent à de l'évasion fiscale liée à des profits non déclarés réalisés dans le cadre de ses activités immobilières et que l'appréciation cantonale sur ce point est arbitraire. Il est douteux que le recourant satisfasse aux exigences de motivation ( art. 106 al. 2 LTF ) en matière d'appréciation arbitraire des faits et des preuves, dès lors qu'il substitue sa propre appréciation à celle effectuée par l'autorité cantonale. En outre, il ne se prononce pas sur la majeure partie des éléments qui ont conduit la Chambre d'accusation à maintenir la saisie; à cela s'ajoute qu'il n'étaie pas sérieusement ni ne justifie la provenance ainsi que les motifs ayant fondé les opérations mises en exergue par le Juge d'instruction. Il n'explique notamment pas les transferts opérés en mai et juin 1998 entre les comptes auprès de la banque X.________ (n° xxx), de Z.________ ainsi que de Y.________ et totalisant 3'059'114 de dollars américains. Il ne fournit pas non plus d'explication convaincante sur les virements effectués en faveur des entités E.________ et F.________, impliquées dans des enquêtes ouvertes pour blanchiment d'argent en relation avec des trafics de stupéfiants. Il ne démontre pas non plus pourquoi les virements de 661'113 et de 1'020'978 de dollars américains émanaient d'établissements bancaires sis à Lisbonne et aux îles Cayman. L'argumentation du recourant ne va, en réalité, pas au-delà de la simple présentation, faite du reste sur un mode purement appellatoire, de sa propre version des faits. Partant, le grief est infondé, dans la faible mesure de sa recevabilité.</w:t>
      </w:r>
    </w:p>
    <w:p>
      <w:r>
        <w:rPr>
          <w:b/>
        </w:rPr>
        <w:t>E. 3</w:t>
      </w:r>
    </w:p>
    <w:p>
      <w:r>
        <w:t>Le recourant reproche ensuite à la Chambre d'accusation d'avoir arbitrairement refusé la traduction en français d'une expertise comptable privée et de ne pas avoir débloqué une partie des fonds au titre de provision pour son conseil. A cet égard, il se prévaut également d'une violation de l' art. 29 al. 3 Cst. "en regard de l'art. 84 § 1 let. a OJF" et d'une inégalité de traitement. Après avoir rappelé que le dossier pénal espagnol avait été traduit et versé à la présente cause, l'instance précédente a considéré que si le recourant avait établi qu'il était endetté auprès de certains établissements bancaires en relation avec différents projets d'investissements immobiliers, il ne soutenait toutefois pas qu'il était démuni ou qu'il ne disposait pas d'autres comptes personnels sans lien avec ces opérations. La Chambre d'accusation a encore relevé que les nombreux biens acquis par le recourant sont a priori susceptibles d'être gagés, voire vendus, notamment pour acquitter les frais de traduction et la provision sollicitée par son mandataire. Le recourant ne discute pas les motifs avancés dans l'ordonnance attaquée. Comme s'il plaidait devant une cour d'appel, il se contente de revendiquer le déblocage des comptes saisis, "aucun moyen financier permettant à court terme d'assurer la défense de ses intérêts", sans démontrer concrètement et précisément en quoi et pour quel motif l'appréciation de la Chambre d'accusation serait insoutenable. Faute de motivation satisfaisant aux exigences de l' art. 106 al. 2 LTF (cf. consid. 1.3), le grief doit être déclaré irrecevable. Il en va de même du grief d'inégalité de traitement, dont se prévaut sommairement le recourant, puisque celui-ci n'expose pas non plus en quoi l'ordonnance attaquée porterait atteinte au droit à l'égalité de traitement.</w:t>
      </w:r>
    </w:p>
    <w:p>
      <w:r>
        <w:rPr>
          <w:b/>
        </w:rPr>
        <w:t>E. 4</w:t>
      </w:r>
    </w:p>
    <w:p>
      <w:r>
        <w:t>Invoquant la garantie de la propriété ( art. 26 Cst. ), le recourant prétend implicitement que le principe de la proportionnalité a été violé dans la mesure où la saisie va paralyser son activité économique.</w:t>
      </w:r>
    </w:p>
    <w:p>
      <w:r>
        <w:rPr>
          <w:b/>
        </w:rPr>
        <w:t>E. 4.1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S'agissant d'un séquestre provisoire, le respect du principe de la proportionnalité se limite pour l'essentiel à la garantie du minimum vital (arrêt 1P.21/2007 du 2 mai 2007; ATF 106 III 107 ). En effet, une mesure de séquestre est en principe proportionnée du simple fait qu'elle porte sur des valeurs dont on peut vraisemblablement admettre qu'elles pourront être confisquées en application du droit pénal.</w:t>
      </w:r>
    </w:p>
    <w:p>
      <w:r>
        <w:rPr>
          <w:b/>
        </w:rPr>
        <w:t>E. 4.2</w:t>
      </w:r>
    </w:p>
    <w:p>
      <w:r>
        <w:t>En l'occurrence, le recourant ne prétend pas que le maintien du séquestre le priverait de moyens d'existence, ni que la durée du séquestre serait disproportionnée. Ses critiques portent sur les conséquences économiques du refus de lever la saisie. Sans aucunement démontrer en quoi le montant séquestré serait sans rapport raisonnable avec le but visé, le recourant se dit exposé à des actes de poursuite, sans toutefois alléguer que des poursuites seraient déjà en cours. Il soutient également que la levée partielle de la saisie à concurrence d'un million d'euros lui permettrait de négocier une postposition de ses dettes bancaires par le paiement d'acomptes jusqu'à ce qu'il arrive à vendre tout ou partie de ses appartements. Il n'étaie cependant son allégation par aucune pièce. Dans ces conditions, le grief doit être rejeté.</w:t>
      </w:r>
    </w:p>
    <w:p>
      <w:r>
        <w:rPr>
          <w:b/>
        </w:rPr>
        <w:t>E. 5</w:t>
      </w:r>
    </w:p>
    <w:p>
      <w:r>
        <w:t>Le recourant estime enfin qu'il y a une absence de connexité immédiate entre les fonds séquestrés et l'infraction. Il se plaint implicitement d'une application arbitraire de l'art. 181 du code de procédure pénale genevoise du 29 septembre 1977 (CPP/GE; RSG E 4 20).</w:t>
      </w:r>
    </w:p>
    <w:p>
      <w:r>
        <w:rPr>
          <w:b/>
        </w:rPr>
        <w:t>E. 5.1</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181 al. 1 CPP /GE, disposition selon laquelle le juge saisit les objets ou valeurs susceptibles notamment d'être confisqués. En l'occurrence, il s'agit de la saisie conservatoire du produit présumé de l'infraction (producta sceleris). Comme cela ressort du texte de l' art. 181 CPP /GE,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5.2</w:t>
      </w:r>
    </w:p>
    <w:p>
      <w:r>
        <w:t>En l'occurrence, le recourant se borne à affirmer que les fonds saisis proviennent des profits réalisés dans le cadre de son entreprise et non déclarés au fisc espagnol. Partant, il ne fait pas la démonstration de l'origine licite de fonds qui ont transité sur les comptes bloqués ni du bien-fondé des différents transferts mentionnés par le Juge d'instruction à l'appui de sa décision. Sur le vu des accusations précises portées par ledit juge, auxquelles le recourant ne répond pas, la provenance délictueuse des fonds apparaît en l'état suffisamment vraisemblable pour justifier une mesure de séquestre pénal. Dans ces conditions, la Chambre d'accusation n'a pas fait preuve d'arbitraire en estimant qu'il y avait lieu de mener à terme les investigations sur la provenance des fonds ayant transité par les comptes du recourant et sur l'identité des réels bénéficiaires des fonds ayant transité sur lesdits comptes.</w:t>
      </w:r>
    </w:p>
    <w:p>
      <w:r>
        <w:rPr>
          <w:b/>
        </w:rPr>
        <w:t>E. 6</w:t>
      </w:r>
    </w:p>
    <w:p>
      <w:r>
        <w:t>Il s'ensuit que le recours doit être rejeté, dans la mesure de sa recevabilité. Le recourant, qui succombe, doit supporter les frais de la présente procédure ( art. 66 al. 1 LTF ). Largement appellatoire, le recours paraissait d'emblée voué à l'échec. En conséquence, l'assistance judiciaire doit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