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1B_135/2018 vom 14. März 2018</w:t>
      </w:r>
    </w:p>
    <w:p>
      <w:r>
        <w:t>Bundesgericht, 2018-03-14, DE</w:t>
      </w:r>
    </w:p>
    <w:p>
      <w:r>
        <w:rPr>
          <w:b/>
        </w:rPr>
        <w:t xml:space="preserve">Quelle: </w:t>
      </w:r>
      <w:r>
        <w:t>https://mcp.opencaselaw.ch/entscheid/bger_1B_135_2018</w:t>
      </w:r>
    </w:p>
    <w:p>
      <w:r>
        <w:t>FR: TF 1B_135/2018 du 14 mars 2018</w:t>
      </w:r>
    </w:p>
    <w:p>
      <w:r>
        <w:t>IT: TF 1B_135/2018 del 14 marzo 2018</w:t>
      </w:r>
    </w:p>
    <w:p>
      <w:pPr>
        <w:pStyle w:val="Heading2"/>
      </w:pPr>
      <w:r>
        <w:t>Erwägungen</w:t>
      </w:r>
    </w:p>
    <w:p>
      <w:r>
        <w:rPr>
          <w:b/>
        </w:rPr>
        <w:t>E. 1</w:t>
      </w:r>
    </w:p>
    <w:p>
      <w:r>
        <w:t>A.________ erstattete am 30. Oktober 2017 "Strafanzeige/Privatklage" gegen die Präsidentin des Kantonsgerichts Nidwalden wegen Begünstigung und Amtsmissbrauchs. Am 2. November 2017 reichte er eine weitere "Strafanzeige/Privatklage" gegen die Kantonsgerichtspräsidentin sowie überdies gegen zwei Kantonsrichter wegen Begünstigung und Amtsmissbrauchs ein. Schliesslich reichte er am 27. November 2017 eine dritte "Strafanzeige/Privatklage" gegen die drei Gerichtspersonen wegen Amtsmissbrauchs ein. In sämtlichen Strafanzeigen ersuchte A.________ sinngemäss um Ausstand der Staatsanwaltschaft Nidwalden.</w:t>
      </w:r>
    </w:p>
    <w:p>
      <w:r>
        <w:rPr>
          <w:b/>
        </w:rPr>
        <w:t>E. 2</w:t>
      </w:r>
    </w:p>
    <w:p>
      <w:r>
        <w:t>Die Staatsanwaltschaft Nidwalden überwies das Ausstandsgesuch an die Beschwerdeabteilung in Strafsachen des Obergerichts Nidwalden, welche mit Beschluss vom 23. Januar 2018 das Ausstandsgesuch abwies. Zur Begründung führte die Beschwerdeabteilung zusammenfassend aus, dass pauschale Ausstandsgesuche gegen eine Behörde als Ganzes grundsätzlich nicht zulässig seien. Einzig bezüglich der Kantonsgerichtspräsidentin liege eine Begründung vor, nämlich dass diese als Zwangsmassnahmenrichterin in einem engen Auftrags- bzw. Abhängigkeitsverhältnis zur Staatsanwaltschaft stehe. Das behauptete Auftrags- und Abhängigkeitsverhältnis sei indessen nicht ersichtlich. Das Ausstandsgesuch ziele letztlich bloss auf eine Lahmlegung der Staatsanwaltschaft.</w:t>
      </w:r>
    </w:p>
    <w:p>
      <w:r>
        <w:rPr>
          <w:b/>
        </w:rPr>
        <w:t>E. 3</w:t>
      </w:r>
    </w:p>
    <w:p>
      <w:r>
        <w:t>A.________ führt mit Eingabe vom 9. März 2018 Beschwerde in Strafsachen gegen den Beschluss der Beschwerdeabteilung in Strafsachen des Obergerichts Nidwalden vom 23. Januar 2018.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nachvollziehbar aufzuzeigen, dass die Beschwerdeabteilung in Strafsachen sein Ausstandsgesuch rechtswidrig behandelt hätte. Die Beschwerdeabteilung in Strafsachen legte in ihrer Begründung ausführlich dar, weshalb das Verhältnis zwischen Zwangsmassnahmengericht und Staatsanwaltschaft zu keinem Ausstandsgrund führe. Damit setzt sich der Beschwerdeführer nicht rechtsgenüglich auseinander und legt nicht dar, inwiefern die Begründung der Beschwerdeabteilung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