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1B_135/2013 vom 26. Juni 2013</w:t>
      </w:r>
    </w:p>
    <w:p>
      <w:r>
        <w:t>Bundesgericht, 2013-06-26, DE</w:t>
      </w:r>
    </w:p>
    <w:p>
      <w:r>
        <w:rPr>
          <w:b/>
        </w:rPr>
        <w:t xml:space="preserve">Quelle: </w:t>
      </w:r>
      <w:r>
        <w:t>https://mcp.opencaselaw.ch/entscheid/bger_1B_135_2013</w:t>
      </w:r>
    </w:p>
    <w:p>
      <w:r>
        <w:t>FR: TF 1B_135/2013 du 26 juin 2013</w:t>
      </w:r>
    </w:p>
    <w:p>
      <w:r>
        <w:t>IT: TF 1B_135/2013 del 26 giugno 2013</w:t>
      </w:r>
    </w:p>
    <w:p>
      <w:pPr>
        <w:pStyle w:val="Heading2"/>
      </w:pPr>
      <w:r>
        <w:t>Erwägungen</w:t>
      </w:r>
    </w:p>
    <w:p>
      <w:r>
        <w:rPr>
          <w:b/>
        </w:rPr>
        <w:t>E. 1.1</w:t>
      </w:r>
    </w:p>
    <w:p>
      <w:r>
        <w:t>Der angefochtene Beschluss betrifft eine Strafsache im Sinne von Art. 78 Abs. 1 BGG und wurde von einer letzten kantonalen Instanz gefällt ( Art. 86 Abs. 1 lit. d und Abs. 2 BGG ). Er schliesst das Strafverfahren nicht ab. Es handelt sich somit um einen Zwischenentscheid.</w:t>
      </w:r>
    </w:p>
    <w:p>
      <w:r>
        <w:rPr>
          <w:b/>
        </w:rPr>
        <w:t>E. 1.2</w:t>
      </w:r>
    </w:p>
    <w:p>
      <w:r>
        <w:t>Nicht zur Anwendung gelangen vorliegend Art. 92 BGG (vgl. Urteil 2C_507/2008 vom 14. Juli 2008 E. 2.2) und Art. 94 BGG (vgl. Urteil 1B_100/2013 vom 29. Mai 2013 E. 1.2). Auch die Anwendung von Art. 93 Abs. 1 lit. b BGG fällt offensichtlich ausser Betracht, da die Gutheissung der Beschwerde nicht sofort einen Endentscheid herbeiführen würde.</w:t>
      </w:r>
    </w:p>
    <w:p>
      <w:r>
        <w:t>Nach Art. 93 Abs. 1 lit. a BGG ist die Beschwerde gegen einen selbstständig eröffneten Zwischenentscheid nur zulässig, wenn dieser einen nicht wieder gutzumachenden Nachteil bewirken kann. Dies ist der Fall, wenn der Nachteil auch durch ein nachfolgendes günstiges Urteil nicht oder nicht mehr vollständig behoben werden kann ( BGE 135 I 261 E. 1.2 S. 263 mit Hinweisen). Bei Beschwerden in Strafsachen muss der nicht wieder gutzumachende Nachteil nicht bloss tatsächlicher, sondern rechtlicher Natur sein ( BGE 136 IV 92 E. 4 S. 95; 133 IV 139 E. 4 S. 141). Art. 93 Abs. 1 lit. a BGG greift nach der Praxis des Bundesgerichts nicht, wenn es einer Partei bloss darum geht, eine Verlängerung oder Verteuerung des Verfahrens zu vermeiden ( BGE 135 II 30 E. 1.3.4 S. 36). Dabei obliegt es den Beschwerdeführern im Einzelnen darzulegen, inwiefern ihnen ein nicht wieder gutzumachender Nachteil droht, ansonsten auf die Beschwerde nicht einzutreten ist ( BGE 137 III 324 E. 1.1 S. 329; 136 IV 92 E. 4 S. 95; je mit Hinweisen). Ein Zwischenentscheid, der nach Art. 93 Abs. 1 lit. a BGG nicht angefochten werden kann oder trotz Anfechtungsmöglichkeit nicht beanstandet wurde, ist gemäss Art. 93 Abs. 3 BGG durch Beschwerde gegen den Endentscheid anfechtbar, soweit er sich auf dessen Inhalt auswirkt.</w:t>
      </w:r>
    </w:p>
    <w:p>
      <w:r>
        <w:rPr>
          <w:b/>
        </w:rPr>
        <w:t>E. 1.3</w:t>
      </w:r>
    </w:p>
    <w:p>
      <w:r>
        <w:t>Die Beschwerdeführer führen aus, es gehe ihnen vorliegend nicht darum, die Bestellung des gerichtlichen Gutachters als irreparablen Nachteil darzustellen. Vielmehr werde der rechtliche, nicht wieder gutzumachende Nachteil mit dem Verlust einer unabhängigen Beschwerdeinstanz begründet. Indem die Vorinstanz an die Stelle der von Gesetzes wegen geforderten Entscheidbegründung die integrale Übernahme des Standpunkts der Staatsanwaltschaft gesetzt habe, sei sie der Begründungspflicht nicht nachgekommen und habe hierdurch ihren Anspruch auf rechtliches Gehör ( Art. 29 Abs. 2 BV ) verletzt. Das Vorgehen der Vorinstanz stelle die Garantie eines rechtsstaatlichen, fairen Verfahrens in Frage. Da mit der Beschwerde einzig die Verletzung der Begründungspflicht gerügt werde, erübrige es sich, auf die Gründe einzugehen, weshalb ihnen jedes Vertrauen in den amtlich eingesetzten Gutachter fehle.</w:t>
      </w:r>
    </w:p>
    <w:p>
      <w:r>
        <w:t>Die Beschwerdeführer machen weiter geltend, auch der Kosten- und Entschädigungsentscheid der Vorinstanz bewirke für sie einen nicht wieder gutzumachenden Nachteil rechtlicher Natur. Es fehle eine gesetzliche Grundlage, um sie zum Ersatz der Verteidigungskosten der Beschuldigten von insgesamt Fr. 10'209.25 zu verpflichten.</w:t>
      </w:r>
    </w:p>
    <w:p>
      <w:r>
        <w:rPr>
          <w:b/>
        </w:rPr>
        <w:t>E. 1.4</w:t>
      </w:r>
    </w:p>
    <w:p>
      <w:r>
        <w:t>Die Vorbringen der Beschwerdeführer sind nicht stichhaltig:</w:t>
      </w:r>
    </w:p>
    <w:p>
      <w:r>
        <w:t>Nach der Rechtsprechung des Bundesgerichts führt die Bestellung eines gerichtlichen Gutachters in der Regel nicht zu einem irreparablen Rechtsnachteil im Sinne von Art. 93 Abs. 1 lit. a BGG (vgl. Urteile 2C_507/2008 vom 14. Juli 2008 E. 2.3 und 1B_75/2009 vom 16. April 2009 E. 2.1; siehe auch Andreas J. Keller, in: Andreas Donatsch / Thomas Hansjakob / Viktor Lieber, Kommentar zur Schweizerischen Strafprozessordnung, 2010, Art. 397 N. 15). Dies wird von den Beschwerdeführern nicht bestritten. Bewirkt aber der Entscheid, einen bestimmten Gutachter einzusetzen, keinen nicht wieder gutzumachenden Nachteil, so ist nicht ersichtlich, wie eine allenfalls mangelhafte Begründung dieses Entscheids durch die fragwürdige integrale Wiedergabe und Übernahme des Standpunkts der Staatsanwaltschaft seitens der Vorinstanz zu einem solchen irreparablen Rechtsnachteil führen kann. Gegenteiliges legen die Beschwerdeführer mit ihren Ausführungen nicht dar.</w:t>
      </w:r>
    </w:p>
    <w:p>
      <w:r>
        <w:t>Auch der in einem Zwischenentscheid enthaltene Entscheid über die Kosten- und Entschädigungsfolgen verursacht grundsätzlich keinen nicht wieder gutzumachenden Nachteil ( BGE 138 III 94 E. 2.2 f. S. 95 f. mit Hinweisen; vgl. auch Urteil 1B_488/2012 vom 21. Januar 2013 E. 1.3). Dass es vorliegend anders wäre, ist nicht ersichtlich und wird von den Beschwerdeführern auch nicht aufgezeigt.</w:t>
      </w:r>
    </w:p>
    <w:p>
      <w:r>
        <w:t>Die Beschwerdeführer werden ihre Kritik am vorinstanzlichen Beschluss nach Vorliegen des Endentscheids (und unabhängig von dessen Inhalt) mit Beschwerde ans Bundesgericht vortragen können ( Art. 93 Abs. 3 BGG ).</w:t>
      </w:r>
    </w:p>
    <w:p>
      <w:r>
        <w:rPr>
          <w:b/>
        </w:rPr>
        <w:t>E. 2</w:t>
      </w:r>
    </w:p>
    <w:p>
      <w:r>
        <w:t>Auf die Beschwerde ist somit nicht einzutreten. Die Gerichtskosten sind den unterliegenden Beschwerdeführern zu gleichen Teilen und unter solidarischer Haftbarkeit aufzuerlegen ( Art. 66 Abs. 1 und 5 BGG ). Die Beschwerdeführer haben die Beschwerdegegner unter solidarischer Haftbarkeit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