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1B_135/2010 vom 1. Juni 2010</w:t>
      </w:r>
    </w:p>
    <w:p>
      <w:r>
        <w:t>Bundesgericht, 2010-06-01, FR</w:t>
      </w:r>
    </w:p>
    <w:p>
      <w:r>
        <w:rPr>
          <w:b/>
        </w:rPr>
        <w:t xml:space="preserve">Quelle: </w:t>
      </w:r>
      <w:r>
        <w:t>https://mcp.opencaselaw.ch/entscheid/bger_1B_135_2010</w:t>
      </w:r>
    </w:p>
    <w:p>
      <w:r>
        <w:t>FR: TF 1B_135/2010 du 1 juin 2010</w:t>
      </w:r>
    </w:p>
    <w:p>
      <w:r>
        <w:t>IT: TF 1B_135/2010 del 1 giugno 2010</w:t>
      </w:r>
    </w:p>
    <w:p>
      <w:pPr>
        <w:pStyle w:val="Heading2"/>
      </w:pPr>
      <w:r>
        <w:t>Erwägungen</w:t>
      </w:r>
    </w:p>
    <w:p>
      <w:r>
        <w:rPr>
          <w:b/>
        </w:rPr>
        <w:t>E. 1</w:t>
      </w:r>
    </w:p>
    <w:p>
      <w:r>
        <w:t>Selon l' art. 78 al. 1 LTF , le recours est ouvert contre les décisions rendues en matière pénale, par quoi on entend toute décision fondée sur le droit pénal matériel ou sur le droit de procédure pénale ou, autrement dit, toute décision en relation avec la poursuite ou le jugement d'une infraction ( ATF 133 IV 335 consid. 2 p. 337). Tel est le cas de la décision attaquée, relative au droit de visite du prévenu en détention. Le recourant a qualité pour agir ( art. 81 al. 1 LTF ). Le recours est également recevable au regard des art. 90 ss LTF , que l'on considère la décision attaquée comme finale (rendue au terme d'une procédure distincte de l'instruction pénale; art. 90 LTF ) ou comme une décision incidente causant un dommage irréparable ( art. 93 al. 1 LTF ).</w:t>
      </w:r>
    </w:p>
    <w:p>
      <w:r>
        <w:rPr>
          <w:b/>
        </w:rPr>
        <w:t>E. 2</w:t>
      </w:r>
    </w:p>
    <w:p>
      <w:r>
        <w:t>Le recourant invoque les art. 8 CEDH , 10 al. 2 et 13 al. 1 Cst. Il estime que le refus de l'autoriser à recevoir la visite de ses parents ne serait pas fondé sur un risque de collusion concret. L'exercice du droit de se taire, constitutionnellement garanti, ne serait pas assimilable à un risque de collusion, et le recourant aurait admis la plupart des faits qui lui sont reprochés.</w:t>
      </w:r>
    </w:p>
    <w:p>
      <w:r>
        <w:rPr>
          <w:b/>
        </w:rPr>
        <w:t>E. 2.1</w:t>
      </w:r>
    </w:p>
    <w:p>
      <w:r>
        <w:t>La garantie de la liberté personnelle ( art. 10 al. 1 Cst. ) et le droit au respect de la vie privée et familiale ( art. 8 CEDH et 13 Cst.) permettent aux personnes détenues de recevoir régulièrement des visites des membres de leur famille, dans les limites découlant de la mesure de contrainte qui leur est imposée et du rapport de sujétion spécial qui les lie à l'Etat. Conformément aux exigences de l' art. 36 Cst. , les restrictions à ce droit doivent reposer sur une base légale et ne pas aller au-delà de ce qui est nécessaire au but de l'incarcération ( ATF 119 Ia 505 consid. 3b p. 507; 118 Ia 64 consid. 2d p. 73). Les exigences inhérentes au but de la détention doivent être examinées dans chaque cas, les restrictions imposées pouvant être d'autant plus sévères que le risque, notamment de collusion, apparaît élevé ( ATF 118 Ia 64 consid. 2d p. 73 et les arrêts cités). Par analogie avec la détention préventive, le risque de collusion doit, pour faire échec au droit de visite des proches, présenter une certaine vraisemblance ( ATF 123 I 31 consid. 3c p. 36, 117 Ia 257 consid. 4c p. 261), et l'autorité doit indiquer, au moins dans les grandes lignes, en quoi l'exercice de ce droit pourrait compromettre les résultats de l'enquête (cf. ATF 123 I 31 consid. 2b p. 33/34, 116 Ia 149 consid. 5 p. 152).</w:t>
      </w:r>
    </w:p>
    <w:p>
      <w:r>
        <w:rPr>
          <w:b/>
        </w:rPr>
        <w:t>E. 2.2</w:t>
      </w:r>
    </w:p>
    <w:p>
      <w:r>
        <w:t>En l'occurrence, le recourant a prétendu, dans un premier temps, qu'il ignorait l'identité de ses deux complices. Ces affirmations, ainsi que les circonstances dans lesquelles il a prétendu les avoir rencontrés apparaissaient pour le moins invraisemblables. Entendu le 9 mars 2010 par la police (puis ultérieurement lors de la confrontation du 30 avril 2010 avec les parties civiles), il a expliqué s'être rendu, avec des comparses, de Nîmes en Haute-Savoie pour y rencontrer la personne qui avait commandité le cambriolage; il a laissé entendre qu'il serait en mesure d'indiquer qui sont ses complices, ainsi que son commanditaire. Il ressort de ces déclarations que le recourant, par crainte pour lui-même ou pour d'autres raisons, tente manifestement de protéger l'ensemble de ses complices, et qu'il pourrait profiter d'un contact avec l'extérieur pour les avertir de l'avancement de l'enquête. Le risque évoqué dans l'ordonnance attaquée, qui est également à la base de la mesure de supersuspension, apparaît ainsi suffisamment concret.</w:t>
      </w:r>
    </w:p>
    <w:p>
      <w:r>
        <w:rPr>
          <w:b/>
        </w:rPr>
        <w:t>E. 2.3</w:t>
      </w:r>
    </w:p>
    <w:p>
      <w:r>
        <w:t>Le recourant estime que le principe de la proportionnalité serait violé: d'une part il serait possible d'autoriser une visite assortie d'une surveillance; d'autre part, la mesure serait disproportionnée de par sa durée.</w:t>
      </w:r>
    </w:p>
    <w:p>
      <w:r>
        <w:t>La Chambre d'accusation a considéré qu'une visite surveillée par un gardien n'était pas envisageable, car celui-ci ne connaissait pas le contenu de la procédure. Contrairement à ce que prétend le recourant, cette considération n'a rien d'arbitraire dès lors qu'une personne ignorant tout du dossier - au contraire du Juge d'instruction, chargé de la censure du courrier - ne pourrait intervenir en cas d'échange d'informations susceptibles d'alerter les complices du recourant et leur commanditaire, et de leur permettre ainsi d'échapper à la justice. Quant à la durée de la mesure, la cour cantonale en a tenu compte en considérant que le risque de collusion devrait être réexaminé prochainement en fonction de l'avancement de l'enquête afin de permettre au recourant de pouvoir recevoir le plus rapidement possible la visite de ses parents. Pour l'heure, le recourant peut informer ces derniers, en tout cas par écrit, sur son état de santé.</w:t>
      </w:r>
    </w:p>
    <w:p>
      <w:r>
        <w:rPr>
          <w:b/>
        </w:rPr>
        <w:t>E. 3</w:t>
      </w:r>
    </w:p>
    <w:p>
      <w:r>
        <w:t>Compte tenu de ce qui précède, le recours doit être rejeté. Le recourant a demandé l'assistance judiciaire. Les conditions en paraissent réunies. Me Stéfanie Brun Poggi est désignée comme avocate d'office, rétribuée par la caisse du Tribunal fédéral. L'octroi de l'assistance judiciaire dispense le recourant du paiement des frais judiciaires ( art. 64 al. 1 LTF ), mais non de l'indemnité de dépens allouée aux intimés, parties civiles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