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1B_132/2019 vom 21. März 2019</w:t>
      </w:r>
    </w:p>
    <w:p>
      <w:r>
        <w:t>Bundesgericht, 2019-03-21, DE</w:t>
      </w:r>
    </w:p>
    <w:p>
      <w:r>
        <w:rPr>
          <w:b/>
        </w:rPr>
        <w:t xml:space="preserve">Quelle: </w:t>
      </w:r>
      <w:r>
        <w:t>https://mcp.opencaselaw.ch/entscheid/bger_1B_132_2019</w:t>
      </w:r>
    </w:p>
    <w:p>
      <w:r>
        <w:t>FR: TF 1B_132/2019 du 21 mars 2019</w:t>
      </w:r>
    </w:p>
    <w:p>
      <w:r>
        <w:t>IT: TF 1B_132/2019 del 21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Präsidentin der Beschwerdekammer des Obergerichts des Kantons Bern auferlegte B.________ eine Ordnungsbusse von Fr. 200.-- und A.________ eine solche von Fr. 100.-- mit der Begründung, sie hätten in ihrer Beschwerdeschrift die Staatsanwältin grob beleidigt und in ihrer Persönlichkeit verletzt.</w:t>
      </w:r>
    </w:p>
    <w:p>
      <w:r>
        <w:t>Mit Beschwerde in Strafsachen beantragen B.________ und A.________ sinngemäss, diese Bussenverfügung aufzuheben.</w:t>
      </w:r>
    </w:p>
    <w:p>
      <w:r>
        <w:t>Vernehmlassungen wurden keine eingeholt.</w:t>
      </w:r>
    </w:p>
    <w:p>
      <w:r>
        <w:rPr>
          <w:b/>
        </w:rPr>
        <w:t>E. 2</w:t>
      </w:r>
    </w:p>
    <w:p>
      <w:r>
        <w:t>Angefochten ist ein kantonal letztinstanzlicher Entscheid in einer strafrechtlichen Angelegenheit. Dagegen steht die Beschwerde nach Art. 78 ff. BGG offen. Er schliesst das Verfahren indessen nicht ab; es handelt sich mithin um einen Zwischenentscheid, gegen den die Beschwerde zulässig ist, wenn er einen nicht wieder gutzumachenden Nachteil rechtlicher Natur ( BGE 133 IV 139 E. 4) bewirken könnte ( Art. 93 Abs. 1 lit. a BGG ) oder wenn die Gutheissung der Beschwerde sofort einen Endentscheid herbeiführen und damit einen bedeutenden Aufwand an Zeit oder Kosten für ein weitläufiges Beweisverfahren ersparen würde ( Art. 93 Abs. 1 lit. b BGG ). Es ist allerdings Sache der Beschwerdeführer, darzulegen, dass die Sachurteilsvoraussetzungen erfüllt sind, soweit das nicht offensichtlich ist ( Art. 42 Abs. 2 BGG ; BGE 133 II 249 E. 1.1; 353 E. 1).</w:t>
      </w:r>
    </w:p>
    <w:p>
      <w:r>
        <w:rPr>
          <w:b/>
        </w:rPr>
        <w:t>E. 3</w:t>
      </w:r>
    </w:p>
    <w:p>
      <w:r>
        <w:t>Dieses Urteil wird den Beschwerdeführern, der Generalstaatsanwaltschaft des Kantons Bern und dem Obergericht des Kantons Bern, Beschwerdekammer in Strafsachen, schriftlich mitgeteilt.</w:t>
      </w:r>
    </w:p>
    <w:p>
      <w:r>
        <w:t>Lausanne, 21. März 2019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Merkli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