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130/2016 vom 7. April 2016</w:t>
      </w:r>
    </w:p>
    <w:p>
      <w:r>
        <w:t>Bundesgericht, 2016-04-07, FR</w:t>
      </w:r>
    </w:p>
    <w:p>
      <w:r>
        <w:rPr>
          <w:b/>
        </w:rPr>
        <w:t xml:space="preserve">Quelle: </w:t>
      </w:r>
      <w:r>
        <w:t>https://mcp.opencaselaw.ch/entscheid/bger_1B_130_2016</w:t>
      </w:r>
    </w:p>
    <w:p>
      <w:r>
        <w:t>FR: TF 1B 130/2016 du 7 avril 2016</w:t>
      </w:r>
    </w:p>
    <w:p>
      <w:r>
        <w:t>IT: TF 1B 130/2016 del 7 aprile 2016</w:t>
      </w:r>
    </w:p>
    <w:p>
      <w:pPr>
        <w:pStyle w:val="Heading2"/>
      </w:pPr>
      <w:r>
        <w:t>Regeste</w:t>
      </w:r>
    </w:p>
    <w:p>
      <w:r>
        <w:t>procédure pénale; mesures de contrainte | Procédure pénale</w:t>
      </w:r>
    </w:p>
    <w:p>
      <w:pPr>
        <w:pStyle w:val="Heading2"/>
      </w:pPr>
      <w:r>
        <w:t>Erwägungen</w:t>
      </w:r>
    </w:p>
    <w:p>
      <w:r>
        <w:rPr>
          <w:b/>
        </w:rPr>
        <w:t>E. 1</w:t>
      </w:r>
    </w:p>
    <w:p>
      <w:r>
        <w:t>A la suite d'une dénonciation pénale pour contrainte sexuelle déposée par B.________ contre A.________, le Ministère public de l'Etat de Fribourg a ordonné le 14 décembre 2015 la prise des empreintes et le prélèvement de l'ADN du dénoncé aux fins d'analyse. La Chambre pénale du Tribunal cantonal de l'Etat de Fribourg a rejeté le recours formé par A.________ contre cette décision au terme d'un arrêt rendu le 23 mars 2016 que l'intéressé a déféré auprès du Tribunal fédéral par acte du 2 avril 2016 posté le surlendemain. Il n'a pas été ordonné d'échange d'écritures.</w:t>
      </w:r>
    </w:p>
    <w:p>
      <w:r>
        <w:rPr>
          <w:b/>
        </w:rPr>
        <w:t>E. 2</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En particulier, la motivation doit se rapporter à l'objet du litige tel qu'il est circonscrit par la décision attaquée ( ATF 133 IV 119 consid. 6.4 p. 121; 131 II 533 consid. 6.1 p. 538).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 Le mémoire de recours ne contient aucune conclusion. Le recourant se borne par ailleurs à réfuter les accusations de contrainte sexuelle portées à son encontre et à clamer son innocence. Il ne s'en prend aucunement à la motivation retenue par la Chambre pénale pour conclure à la légalité et à la proportionnalité de la saisie des mesures signalétiques ordonnées à son encontre et ne cherche pas à démontrer en quoi cette motivation serait insoutenable ou d'une autre manière contraire au droit.</w:t>
      </w:r>
    </w:p>
    <w:p>
      <w:r>
        <w:rPr>
          <w:b/>
        </w:rPr>
        <w:t>E. 3</w:t>
      </w:r>
    </w:p>
    <w:p>
      <w:r>
        <w:t>Le recours ne satisfait ainsi manifestement pas aux exigences de motivation requises et doit par conséquent être déclaré irrecevable selon la procédure simplifiée prévue par l' art. 108 al. 1 let.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