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12/2007 vom 26. Februar 2007</w:t>
      </w:r>
    </w:p>
    <w:p>
      <w:r>
        <w:t>Bundesgericht, 2007-02-26, DE</w:t>
      </w:r>
    </w:p>
    <w:p>
      <w:r>
        <w:rPr>
          <w:b/>
        </w:rPr>
        <w:t xml:space="preserve">Quelle: </w:t>
      </w:r>
      <w:r>
        <w:t>https://mcp.opencaselaw.ch/entscheid/bger_1B_12_2007</w:t>
      </w:r>
    </w:p>
    <w:p>
      <w:r>
        <w:t>FR: TF 1B 12/2007 du 26 février 2007</w:t>
      </w:r>
    </w:p>
    <w:p>
      <w:r>
        <w:t>IT: TF 1B 12/2007 del 26 febbraio 2007</w:t>
      </w:r>
    </w:p>
    <w:p>
      <w:pPr>
        <w:pStyle w:val="Heading2"/>
      </w:pPr>
      <w:r>
        <w:t>Regeste</w:t>
      </w:r>
    </w:p>
    <w:p>
      <w:r>
        <w:t>Haftentlassung | Strafprozess</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 Das Bundesgericht prüft seine Zuständigkeit von Amtes wegen ( Art. 29 Abs. 1 BGG ).</w:t>
      </w:r>
    </w:p>
    <w:p>
      <w:r>
        <w:rPr>
          <w:b/>
        </w:rPr>
        <w:t>E. 1.1</w:t>
      </w:r>
    </w:p>
    <w:p>
      <w:r>
        <w:t>Gestützt auf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vgl. auch Marc Thommen/Hans Wiprächtiger, Die Beschwerde in Strafsachen, AJP 2006, 651 ff., S. 652, 654 f.). Die Beschwerde in Strafsachen ist hier somit grundsätzlich gegeben.</w:t>
      </w:r>
    </w:p>
    <w:p>
      <w:r>
        <w:rPr>
          <w:b/>
        </w:rPr>
        <w:t>E. 1.2</w:t>
      </w:r>
    </w:p>
    <w:p>
      <w:r>
        <w:t>Ein kantonales Rechtsmittel gegen den angefochtenen Entscheid steht nicht zur Verfügung. Die Beschwerde ist nach Art. 80 i.V.m. Art. 130 Abs. 1 BGG zulässig.</w:t>
      </w:r>
    </w:p>
    <w:p>
      <w:r>
        <w:rPr>
          <w:b/>
        </w:rPr>
        <w:t>E. 1.3</w:t>
      </w:r>
    </w:p>
    <w:p>
      <w:r>
        <w:t>Der Beschwerdeführer hat vor der Vorinstanz am Verfahren teilgenommen und ein rechtlich geschütztes Interesse an der Aufhebung des angefochtenen Entscheids. Er ist nach Art. 81 Abs. 1 BGG zur Beschwerde befugt.</w:t>
      </w:r>
    </w:p>
    <w:p>
      <w:r>
        <w:rPr>
          <w:b/>
        </w:rPr>
        <w:t>E. 1.4</w:t>
      </w:r>
    </w:p>
    <w:p>
      <w:r>
        <w:t>Da nach Art. 107 Abs. 2 BGG das Bundesgericht bei Gutheissung der Beschwerde in der Sache selbst entscheiden kann, ist auch der Antrag auf Haftentlassung zulässig.</w:t>
      </w:r>
    </w:p>
    <w:p>
      <w:r>
        <w:rPr>
          <w:b/>
        </w:rPr>
        <w:t>E. 1.5</w:t>
      </w:r>
    </w:p>
    <w:p>
      <w:r>
        <w:t>Zur Behandlung der vorliegenden Beschwerde ist gemäss Art. 29 Abs. 3 des Reglements vom 20. November 2006 über das Bundesgericht (SR 173.110.131) die I. öffentlich-rechtliche Abteilung zuständig.</w:t>
      </w:r>
    </w:p>
    <w:p>
      <w:r>
        <w:rPr>
          <w:b/>
        </w:rPr>
        <w:t>E. 1.6</w:t>
      </w:r>
    </w:p>
    <w:p>
      <w:r>
        <w:t>Der angefochtene Entscheid erging in deutscher Sprache. Das vorliegende Urteil wird daher ebenfalls auf Deutsch ausgefertigt ( Art. 54 Abs. 1 BGG ).</w:t>
      </w:r>
    </w:p>
    <w:p>
      <w:r>
        <w:rPr>
          <w:b/>
        </w:rPr>
        <w:t>E. 2</w:t>
      </w:r>
    </w:p>
    <w:p>
      <w:r>
        <w:t>Der Beschwerdeführer macht geltend, die Voruntersuchung sei seit dem 28. September 2006 abgeschlossen. Damit sei die prozessuale Gefahr, der mittels Untersuchungshaft begegnet werden sollte, weggefallen. Schon aus diesem Grund sei die Haft aufzuheben. Darüber hinaus fehle es an ausreichenden Anhaltspunkten für die vom kantonalen Haftrichter bejahte Wiederholungsgefahr. Als er, der Beschwerdeführer, im Januar 2004 aus der Untersuchungshaft provisorisch entlassen wurde, habe er die Tragweite und die Konsequenzen seiner Handlungen noch nicht vollständig erkannt. Unterdessen (nämlich seit 15. September 2005) sei er jedoch erneut inhaftiert worden. Eine Fortsetzungsgefahr bestehe nicht mehr. Ausserdem erscheine es rechtsmissbräuchlich, zwei Monate vor dem angesetzten Hauptverhandlungstermin von Wiederholungsgefahr auszugehen. Die Weiterdauer der Haft verstosse daher gegen das verfassungsmässige Recht der persönlichen Freiheit.</w:t>
      </w:r>
    </w:p>
    <w:p>
      <w:r>
        <w:rPr>
          <w:b/>
        </w:rPr>
        <w:t>E. 2.1</w:t>
      </w:r>
    </w:p>
    <w:p>
      <w:r>
        <w:t>Nach bernischem Strafverfahrensrecht kann der Angeschuldigte in Untersuchungshaft versetzt werden, wenn er eines Verbrechens oder Vergehens dringend verdächtig ist und zudem ein besonderer Haftgrund besteht, namentlich Wiederholungsgefahr (Art. 176 Abs. 2 StrV/BE). Nach Anklageerhebung vor Gericht kann unter analogen Voraussetzungen Sicherheitshaft angeordnet bzw. fortgesetzt werden (Art. 192 f. StrV/BE). Wiederholungsgefahr ist gegeben, wenn ernsthafte Gründe zur Annahme vorliegen, die angeschuldigte bzw. angeklagte Person werde "weitere Verbrechen oder Vergehen begehen, wenn sie während der Dauer des Verfahrens dies bereits mindestens einmal getan hat" (Art. 176 Abs. 2 Ziff. 3 StrV/BE). Im vorliegenden Fall bestreitet der Beschwerdeführer den dringenden Tatverdacht von Verbrechen oder Vergehen nicht. Er wendet sich jedoch gegen die Annahme von Fortsetzungsgefahr.</w:t>
      </w:r>
    </w:p>
    <w:p>
      <w:r>
        <w:rPr>
          <w:b/>
        </w:rPr>
        <w:t>E. 2.2</w:t>
      </w:r>
    </w:p>
    <w:p>
      <w:r>
        <w:t>Nach der Praxis des Bundesgerichtes kann die Anordnung von Haft wegen Fortsetzungsgefahr dem strafprozessualen Ziel der Beschleunigung dienen, indem verhindert wird, dass sich das Verfahren durch immer neue Delikte kompliziert und in die Länge zieht ( BGE 105 Ia 26 E. 3c S. 31; nicht amtl. publ. E. 4a von BGE 126 I 172 ). 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125 I 361 E. 4c S. 366 ; 123 I 268 E. 2c S. 270). Bei der Annahme, dass Angeschuldigte weitere Verbrechen oder Vergehen begehen könnten, ist allerdings Zurückhaltung geboten. Da Präventivhaft einen schwerwiegenden Eingriff in das Recht der persönlichen Freiheit darstellt, muss sie auf einer hinreichenden gesetzlichen Grundlage beruhen, im öffentlichen Interesse liegen und verhältnismässig sein ( BGE 123 I 221 E. 4 S. 226). Die Aufrechterhaltung von strafprozessualer Haft wegen Fortsetzungsgefahr ist verhältnismässig, wenn einerseits die Rückfallprognose sehr ungünstig und anderseits die zu befürchtenden Delikte von schwerer Natur sind ( BGE 123 I 268 E. 2e S. 271 ff.).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angeordnet werden ( BGE 125 I 60 E. 3a S. 62 ; 124 I 208 E. 5 S. 213 ; 123 I 268 E. 2c S. 270 f.).</w:t>
      </w:r>
    </w:p>
    <w:p>
      <w:r>
        <w:rPr>
          <w:b/>
        </w:rPr>
        <w:t>E. 2.3</w:t>
      </w:r>
    </w:p>
    <w:p>
      <w:r>
        <w:t>Bei Beschwerden, die gestützt auf das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des kantonalen Haftrichters willkürlich sind ( BGE 132 I 21 E. 3.2.3 S. 24 mit Hinweisen).</w:t>
      </w:r>
    </w:p>
    <w:p>
      <w:r>
        <w:rPr>
          <w:b/>
        </w:rPr>
        <w:t>E. 2.4</w:t>
      </w:r>
    </w:p>
    <w:p>
      <w:r>
        <w:t>Entgegen der Ansicht des Beschwerdeführers ist mit dem Abschluss der Voruntersuchung der Haftgrund der Wiederholungsgefahr nicht ohne weiteres dahingefallen. Bei Vorliegen von gesetzlichen Haftgründen erlaubt das bernische Strafverfahrensrecht denn auch die Anordnung bzw. Weiterdauer von Sicherheitshaft nach erfolgter Anklageerhebung (Art. 192 f. StrV/BE). Der Beschwerdeführer bestreitet nicht, dass er mehrfach vorbestraft ist. Wie sich aus den Akten ergibt, verurteilte ihn das Wirtschaftsstrafgericht des Kantons Bern am 16. Dezember 1994 wegen ungetreuer Geschäftsbesorgung, Veruntreuung und weiteren Delikten zu 30 Monaten Gefängnis. Nachdem der (damals in Frankreich wohnhafte) Verurteilte an die Schweiz ausgeliefert worden war, verbüsste er einen Teil der rechtskräftig ausgefällten Strafe, bevor er am 2. August 1997 aus dem Strafvollzug bedingt entlassen wurde. Am 6. Februar 1998 verurteilte ihn die französische Strafjustiz (Tribunal de Grande Instance de Narbonne) in Abwesenheit wegen Betruges zu zwei Jahren Freiheitsentzug. Zwischen 4. November 2003 und 27. Januar 2004 musste der Beschwerdeführer wegen mutmasslichen neuen Verbrechen und Vergehen (darunter Vermögens- bzw. Betreibungs- und Konkursdelikte) in der Schweiz in Untersuchungshaft versetzt werden. Am 23. November 2004, 9. Dezember 2005 bzw. 15. Dezember 2005 verurteilte ihn die Neuenburger Strafjustiz wegen Urkundenfälschung, qualifizierter Widerhandlung gegen das Betäubungsmittelgesetz und weiteren Straftaten zu 10 Tagen Gefängnis, 12 Monaten Gefängnis bedingt (mit Probezeit von fünf Jahren) bzw. zu einer Busse. Am 28. November 2006 erfolgte in mehr als 70 Anklagepunkten die Überweisung an das Wirtschaftsstrafgericht des Kantons Bern wegen Vermögens- bzw. Konkurs- und Betreibungsdelikten (mit hohem Schadensbetrag) sowie weiteren Straftaten. Dem Beschwerdeführer wird vorgeworfen, er habe nach seiner Entlassung aus der Untersuchungshaft am 27. Januar 2004 - trotz erfolgten Verurteilungen, Strafvollzug, Untersuchungshaft und neuen Anklagen vor Gericht - weiter massiv einschlägig delinquiert. Die bernischen Untersuchungs- und Anklagebehörden legen ihm diesbezüglich eine "hohe kriminelle Energie" zur Last.</w:t>
      </w:r>
    </w:p>
    <w:p>
      <w:r>
        <w:rPr>
          <w:b/>
        </w:rPr>
        <w:t>E. 2.5</w:t>
      </w:r>
    </w:p>
    <w:p>
      <w:r>
        <w:t>Nach dem Gesagten erweist sich die Annahme von Wiederholungsgefahr als verfassungskonform. Die Rückfallprognose ist aufgrund der vorliegenden Untersuchungsakten und im jetzigen Verfahrensstadium als sehr ungünstig einzustufen, und die zu befürchtenden neuen Delikte erscheinen schwerer Natur. Ausserdem droht hier eine weitere Komplikation des hängigen Strafverfahrens. Dass der kantonale Haftrichter erwog, mit blossen Ersatzmassnahmen für strafprozessuale Haft (Kaution, Pass- und Schriftensperre etc.) liesse sich der drohenden Fortsetzungsgefahr nicht ausreichend begegnen, hält hier ebenfalls vor der Verfassung stand (vgl. dazu auch schon Urteil des Bundesgerichtes 1P.694/2006 vom 3. November 2006, E. 5).</w:t>
      </w:r>
    </w:p>
    <w:p>
      <w:r>
        <w:rPr>
          <w:b/>
        </w:rPr>
        <w:t>E. 3</w:t>
      </w:r>
    </w:p>
    <w:p>
      <w:r>
        <w:t>Schliesslich rügt der Beschwerdeführer eine unverhältnismässige Länge der strafprozessualen Haft. Diese dürfe nicht in grosse Nähe der Freiheitsstrafe geraten, die im Falle einer strafrechtlichen Verurteilung zu erwarten ist. Der Strafrichter könne versucht sein, der Dauer der strafprozessualen Haft bei der Strafzumessung Rechnung zu tragen. Er, der Beschwerdeführer, befinde sich seit insgesamt etwa 20 Monaten in Haft. Während der Voruntersuchung seien die kantonalen Justizbehörden von einem zu erwartenden Freiheitsentzug in der Höhe von mindestens 18 Monaten ausgegangen. Mit einer Freiheitsstrafe von mehr als 24 Monaten müsse er jedoch seiner Ansicht nach nicht rechnen. Im Falle einer Verurteilung zu 20 oder 24 Monaten Freiheitsstrafe könne er ausserdem auf eine bedingte Entlassung nach zwei Dritteln des Strafvollzuges bzw. nach 13 oder 16 Monaten zählen. Eine Weiterdauer der Sicherheitshaft könne im Übrigen die Frage eines möglichen bedingten oder teilbedingten Strafvollzuges in unzulässiger Weise präjudizieren.</w:t>
      </w:r>
    </w:p>
    <w:p>
      <w:r>
        <w:rPr>
          <w:b/>
        </w:rPr>
        <w:t>E. 3.1</w:t>
      </w:r>
    </w:p>
    <w:p>
      <w:r>
        <w:t>Die Strafuntersuchung ist seit 28. September 2006 abgeschlossen (Schlussbericht und Abschlussverfügung des Kantonalen Untersuchungsrichteramtes, Abteilung Wirtschaftskriminalität). Am 28. November 2006 erfolgte die förmliche Anklageerhebung (Überweisung) beim zuständigen Strafgericht. Mit Urteil 1P.694/2006 vom 3. November 2006 (Erwägungen 3-4) erkannte das Bundesgericht, dass die damals zu beurteilende Dauer der strafprozessualen Haft (bis zum Abschluss der Voruntersuchung) verhältnismässig erschien. Unterdessen wurde der Beginn der Hauptverhandlung vor dem Wirtschaftsstrafgericht des Kantons Bern (unbestrittenermassen) auf den 18. April 2007 angesetzt.</w:t>
      </w:r>
    </w:p>
    <w:p>
      <w:r>
        <w:rPr>
          <w:b/>
        </w:rPr>
        <w:t>E. 3.2</w:t>
      </w:r>
    </w:p>
    <w:p>
      <w:r>
        <w:t>Nach der Rechtsprechung des Bundesgerichtes darf die strafprozessuale Haft nicht in allzu grosse zeitliche Nähe der Freiheitsstrafe rücken, die dem Angeklagten im Fall einer strafrechtlichen Verurteilung konkret droht (vgl. BGE 132 I 21 E. 4.1-4.2 S. 27 f. mit Hinweisen). Wie das Bundesgericht im erwähnten Urteil vom 3. November 2006 erwogen hat, handelt sich hier um eine sehr aufwändige und komplexe Strafsache. In mehr als 70 Anklagepunkten erfolgte die Überweisung an das Wirtschaftsstrafgericht wegen diversen Vermögens- bzw. Konkurs- und Betreibungsdelikten (mit hohem Schadensbetrag) sowie weiteren mutmasslichen Straftaten. Mit Recht macht der Beschwerdeführer hier nicht mehr geltend, es drohe ihm lediglich eine Freiheitsstrafe bis zu höchstens 18 Monaten. Der entsprechende Einwand wurde denn auch bereits im erwähnten Urteil des Bundesgerichtes vom 3. November 2006 (Erwägung 4.3) verworfen. Es kann hier durchaus eine höhere (auch unbedingte, evtl. bedingte oder teilbedingte) Strafe in Frage kommen ( Art. 42-43 StGB ). Für betrügerischen Konkurs bzw. Pfändungsbetrug droht Art. 163 StGB Freiheitsstrafe bis zu fünf Jahren an. Bei Gesetzeskonkurrenz bzw. mehrfacher Deliktbegehung erfolgt zudem eine Strafschärfung nach Art. 49 StGB . Seit seiner letztmaligen Verhaftung befand sich der Beschwerdeführer ca. 17 Monate in Untersuchungs- und Sicherheitshaft (abzüglich 10 Tage Strafvollzug). Die bisherige strafprozessuale Haftdauer beträgt insgesamt knapp 20 Monate.</w:t>
      </w:r>
    </w:p>
    <w:p>
      <w:r>
        <w:rPr>
          <w:b/>
        </w:rPr>
        <w:t>E. 3.3</w:t>
      </w:r>
    </w:p>
    <w:p>
      <w:r>
        <w:t>Damit hält die Haftdauer noch vor der Verfassung stand. Die Weiterdauer der Sicherheitshaft wegen Wiederholungsgefahr (vgl. E. 2) dient hier nicht zuletzt der Vermeidung von zusätzlichen Verfahrenskomplikationen infolge immer neuer Straftaten. Die Hauptverhandlung in dieser komplexen Wirtschaftsstrafsache wurde ausserdem zügig angesetzt. Sie wird nach übereinstimmenden Angaben in weniger als zwei Monaten beginnen. Wie das Bundesgericht bereits im Urteil vom 3. November 2006 (Erwägung 3) geprüft und festgestellt hat, sind auch keine prozessualen Versäumnisse der bernischen Untersuchungs- und Anklagebehörden ersichtlich, welche auf eine Verletzung der verfassungsmässigen Grundrechte des Beschwerdeführers schliessen liessen.</w:t>
      </w:r>
    </w:p>
    <w:p>
      <w:r>
        <w:rPr>
          <w:b/>
        </w:rPr>
        <w:t>E. 3.4</w:t>
      </w:r>
    </w:p>
    <w:p>
      <w:r>
        <w:t>Dass das erkennende Strafgericht allenfalls den bedingten Strafvollzug gewähren könnte, wie der Beschwerdeführer vermutet, lässt die Anordnung und Fortdauer von strafprozessualer Haft nach der Praxis des Bundesgerichtes (zu aArt. 41 StGB) grundsätzlich nicht als verfassungswidrig erscheinen ( BGE 125 I 60 E. 3d S. 64 ; 124 I 208 E. 6 S. 215 mit Hinweisen). Es besteht im vorliegenden Fall keine Veranlassung, von der bisherigen Praxis abzuweichen. Dies umso weniger, als das am 1. Januar 2007 in Kraft getretene neue Sanktionenrecht in Art. 43 StGB (neben vollbedingten, Art. 42 StGB ) nun auch teilbedingte Freiheitsstrafen vorsieht, bei denen zumindest ein Teil der ausgefällten Strafe zu vollziehen ist (vgl. dazu auch Urteil 1B_6/2007 vom 20. Februar 2007, E. 2.5). Dem Entscheid des zuständigen Strafgerichtes über diese materiellrechtlichen Fragen ist vom Haftrichter grundsätzlich nicht vorzugreifen. Im vorliegenden Fall erscheint (angesichts der Vorstrafen und der zahlreichen zur Anklage gebrachten neuen Vorwürfe) jedenfalls ein vollbedingter Strafvollzug bei einer Verurteilung zumindest nicht sehr wahrscheinlich (vgl. BGE 125 I 60 E. 3d S. 64). Dass der Beschwerdeführer dem erkennenden Strafrichter spekulativ unterstellt, er werde die materiellrechtlichen Vorschriften des Sanktionenrechtes in gesetzwidriger Weise anwenden, ist unbehelflich. Eine allfällige strafrechtliche Sanktion und Strafzumessung bilden nicht Gegenstand des angefochtenen Entscheides. Soweit der Beschwerdeführer auch noch Mutmassungen zur Möglichkeit einer bedingten vorzeitigen Entlassung aus dem Strafvollzug anstellt (Art. 86 bzw. aArt. 38 StGB), kann wiederum auf das Urteil vom 3. November 2006 (Erwägung 6) verwiesen werden. Das Bundesgericht hat sich dort bereits (im abschlägigen Sinne) mit diesem Einwand befasst.</w:t>
      </w:r>
    </w:p>
    <w:p>
      <w:r>
        <w:rPr>
          <w:b/>
        </w:rPr>
        <w:t>E. 4</w:t>
      </w:r>
    </w:p>
    <w:p>
      <w:r>
        <w:t>Nach dem Gesagten ist die Beschwerde als unbegründet abzuweisen. Das Bundesgericht befreit eine Partei, die nicht über die erforderlichen Mittel verfügt, auf Antrag von der Bezahlung der Gerichtskosten, sofern ihr Rechtsbegehren nicht aussichtslos erscheint ( Art. 64 Abs. 1 BGG ). Wenn es zur Wahrung ihrer Rechte notwendig ist, bestellt das Bundesgericht der Partei für das Beschwerdeverfahren zudem einen Anwalt oder eine Anwältin. Der amtliche Rechtsbeistand wird (in Fällen wie dem vorliegenden) aus der Bundesgerichtskasse angemessen entschädigt ( Art. 64 Abs. 2 BGG ). Über entsprechende Gesuche um unentgeltliche Rechtpflege entscheidet die zuständige Abteilung grundsätzlich in der Besetzung mit drei Richtern oder Richterinnen ( Art. 64 Abs. 3 BGG ). Der Beschwerdeführer stellt ein Gesuch um unentgeltliche Rechtspflege (unentgeltliche Prozessführung und Rechtsverbeiständung). Da die gesetzlichen Voraussetzungen erfüllt sind (und sich insbesondere die finanzielle Bedürftigkeit des Gesuchstellers aus den Akten ergibt), kann dem Begehren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