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1B_129/2016 vom 6. April 2016</w:t>
      </w:r>
    </w:p>
    <w:p>
      <w:r>
        <w:t>Bundesgericht, 2016-04-06, DE</w:t>
      </w:r>
    </w:p>
    <w:p>
      <w:r>
        <w:rPr>
          <w:b/>
        </w:rPr>
        <w:t xml:space="preserve">Quelle: </w:t>
      </w:r>
      <w:r>
        <w:t>https://mcp.opencaselaw.ch/entscheid/bger_1B_129_2016</w:t>
      </w:r>
    </w:p>
    <w:p>
      <w:r>
        <w:t>FR: TF 1B_129/2016 du 6 avril 2016</w:t>
      </w:r>
    </w:p>
    <w:p>
      <w:r>
        <w:t>IT: TF 1B_129/2016 del 6 aprile 2016</w:t>
      </w:r>
    </w:p>
    <w:p>
      <w:pPr>
        <w:pStyle w:val="Heading2"/>
      </w:pPr>
      <w:r>
        <w:t>Erwägungen</w:t>
      </w:r>
    </w:p>
    <w:p>
      <w:r>
        <w:rPr>
          <w:b/>
        </w:rPr>
        <w:t>E. 1</w:t>
      </w:r>
    </w:p>
    <w:p>
      <w:r>
        <w:t>Die Regionale Staatsanwaltschaft Emmental-Oberaargau führte ein Strafverfahren gegen A.________ wegen Widerhandlung gegen das Strassenverkehrsgesetz. In diesem Zusammenhang beschlagnahmte sie am 11. Juni 2015 das Fahrzeug Nissan X-Trail. Gegen diese Verfügung erhob A.________ am 22. September 2015 Beschwerde mit dem Antrag, das beschlagnahmte Fahrzeug sei ihm zurückzugeben.</w:t>
      </w:r>
    </w:p>
    <w:p>
      <w:r>
        <w:t>Am 24. September 2015 teilte die Regionale Staatsanwaltschaft Emmental-Oberaargau der Beschwerdekammer in Strafsachen des Obergerichts des Kantons Bern mit, dass das gegen A.________ geführte Strafverfahren an die Staatsanwaltschaft des Kantons Solothurn abgetreten wurde. Die Verfahrensleitung der Beschwerdekammer verfügte daraufhin am 28. September 2015, dass die Eingabe A.________ vom 22. September 2015 zuständigkeitshalber an die Staatsanwaltschaft des Kantons Solothurn zur allfälligen Behandlung als Gesuch um Herausgabe des beschlagnahmten Fahrzeugs weitergeleitet werde. Sie erwog dabei, dass die Beschwerde gegen die Beschlagnahmeverfügung verspätet erfolgt sei. Auf eine förmliche Behandlung der Beschwerde wurde indessen verzichtet.</w:t>
      </w:r>
    </w:p>
    <w:p>
      <w:r>
        <w:rPr>
          <w:b/>
        </w:rPr>
        <w:t>E. 2</w:t>
      </w:r>
    </w:p>
    <w:p>
      <w:r>
        <w:t>Am 11. Februar 2016 gelangte A.________ erneut an die Beschwerdekammer in Strafsachen des Obergerichts des Kantons Bern und verlangte die förmliche Behandlung seiner Beschwerde vom 22. September 2015. Die Beschwerdekammer in Strafsachen wies mit Beschluss vom 22. Februar 2016 das Gesuch um Wiederherstellung der Beschwerdefrist ab, soweit sie darauf eintrat, und trat auf die verspätet eingereichte Beschwerde vom 22. September 2015 nicht ein.</w:t>
      </w:r>
    </w:p>
    <w:p>
      <w:r>
        <w:rPr>
          <w:b/>
        </w:rPr>
        <w:t>E. 3</w:t>
      </w:r>
    </w:p>
    <w:p>
      <w:r>
        <w:t>A.________ führt mit Eingabe vom 23. März 2016 (Postaufgabe 30. März 2016) Beschwerde in Strafsachen gegen den Beschluss der Beschwerdekammer in Strafsachen des Obergerichts des Kantons Bern vom 22. Februar 2016.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den Ausführungen der Beschwerdekammer, die zur Abweisung des Wiederherstellungsgesuchs und zum Nichteintreten auf die Beschwerde führten, nicht rechtsgenüglich auseinander und vermag nicht aufzuzeigen, inwiefern diese rechts- oder verfassungswidrig sein sollten. Aus der Beschwerdebegründung ergibt sich nicht, inwiefern die Begründung der Beschwerdekammer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