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128/2020 vom 17. März 2020</w:t>
      </w:r>
    </w:p>
    <w:p>
      <w:r>
        <w:t>Bundesgericht, 2020-03-17, DE</w:t>
      </w:r>
    </w:p>
    <w:p>
      <w:r>
        <w:rPr>
          <w:b/>
        </w:rPr>
        <w:t xml:space="preserve">Quelle: </w:t>
      </w:r>
      <w:r>
        <w:t>https://mcp.opencaselaw.ch/entscheid/bger_1B_128_2020</w:t>
      </w:r>
    </w:p>
    <w:p>
      <w:r>
        <w:t>FR: TF 1B 128/2020 du 17 mars 2020</w:t>
      </w:r>
    </w:p>
    <w:p>
      <w:r>
        <w:t>IT: TF 1B 128/2020 del 17 marzo 2020</w:t>
      </w:r>
    </w:p>
    <w:p>
      <w:pPr>
        <w:pStyle w:val="Heading2"/>
      </w:pPr>
      <w:r>
        <w:t>Regeste</w:t>
      </w:r>
    </w:p>
    <w:p>
      <w:r>
        <w:t>Strafverfahren; Rechtsverweigerung | Strafprozess</w:t>
      </w:r>
    </w:p>
    <w:p>
      <w:pPr>
        <w:pStyle w:val="Heading2"/>
      </w:pPr>
      <w:r>
        <w:t>Erwägungen</w:t>
      </w:r>
    </w:p>
    <w:p>
      <w:r>
        <w:rPr>
          <w:b/>
        </w:rPr>
        <w:t>E. 1</w:t>
      </w:r>
    </w:p>
    <w:p>
      <w:r>
        <w:t>Die Verfahren 1B_128, 129, 130 und 131/2020 betreffen das gleiche Strafverfahren und hängen eng zusammen, weshalb sie zu vereinigen sind.</w:t>
      </w:r>
    </w:p>
    <w:p>
      <w:r>
        <w:rPr>
          <w:b/>
        </w:rPr>
        <w:t>E. 2</w:t>
      </w:r>
    </w:p>
    <w:p>
      <w:r>
        <w:t>Angefochten sind kantonal letztinstanzliche Entscheide, mit denen das Obergericht Beschwerden gegen die Verfahrensführung des erstinstanzlichen Strafgerichts abgewiesen hat und auf ein Ausstandsgesuch nicht eingetreten ist. Dagegen ist die Beschwerde in Strafsachen zulässig ( Art. 78 Abs. 1, Art. 80 BGG ). Sie schliessen die Verfahren indessen nicht ab; es handelt sich mithin um Zwischenentscheide, gegen die die Beschwerde zulässig ist, wenn sie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3</w:t>
      </w:r>
    </w:p>
    <w:p>
      <w:r>
        <w:t>Der Beschwerdeführer wendet sich mit seiner Beschwerde einzig gegen die ihm auferlegten Verfahrenskosten. Damit hat er von vornherein kein Rechtsschutzinteresse an der Anfechtung des Beschlusses 1B_131/2020, da ihm das Obergericht in diesem Ausstandsverfahren gar keine Kosten auferlegt hat. In Bezug auf die anderen drei Beschlüsse legt der Beschwerdeführer nicht dar, inwiefern ihm durch die Kostenauflagen von je Fr. 400.-- ein nicht wiedergutzumachender Nachteil rechtlicher Natur erwachsen könnte, und das ist auch nicht offensichtlich. Auf die Beschwerden ist mangels eines aktuellen Rechtsschutzinteressen bzw. wegen Verletzung der Begründungspflicht im vereinfachten Verfahren nicht einzutreten. Auf die Erhebung von Kosten kann ausnahmsweise verzichtet werden, womit das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