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128/2019 vom 2. Juli 2019</w:t>
      </w:r>
    </w:p>
    <w:p>
      <w:r>
        <w:t>Bundesgericht, 2019-07-02, DE</w:t>
      </w:r>
    </w:p>
    <w:p>
      <w:r>
        <w:rPr>
          <w:b/>
        </w:rPr>
        <w:t xml:space="preserve">Quelle: </w:t>
      </w:r>
      <w:r>
        <w:t>https://mcp.opencaselaw.ch/entscheid/bger_1B_128_2019</w:t>
      </w:r>
    </w:p>
    <w:p>
      <w:r>
        <w:t>FR: TF 1B 128/2019 du 2 juillet 2019</w:t>
      </w:r>
    </w:p>
    <w:p>
      <w:r>
        <w:t>IT: TF 1B 128/2019 del 2 luglio 2019</w:t>
      </w:r>
    </w:p>
    <w:p>
      <w:pPr>
        <w:pStyle w:val="Heading2"/>
      </w:pPr>
      <w:r>
        <w:t>Regeste</w:t>
      </w:r>
    </w:p>
    <w:p>
      <w:r>
        <w:t>Strafverfahren; Verweigerung der amtlichen Verteidigung | Strafprozess</w:t>
      </w:r>
    </w:p>
    <w:p>
      <w:pPr>
        <w:pStyle w:val="Heading2"/>
      </w:pPr>
      <w:r>
        <w:t>Erwägungen</w:t>
      </w:r>
    </w:p>
    <w:p>
      <w:r>
        <w:rPr>
          <w:b/>
        </w:rPr>
        <w:t>E. 1.1</w:t>
      </w:r>
    </w:p>
    <w:p>
      <w:r>
        <w:t>Bei der angefochtenen Verfügung handelt es sich um einen kantonal letztinstanzlichen Entscheid über die Verweigerung der amtlichen Verteidigung in einer Strafsache. Dieser kann als Zwischenentscheid, der einen nicht wieder gutzumachenden Nachteil bewirkt, mit Beschwerde in Strafsachen beim Bundesgericht angefochten werden (Art. 78 ff. i.V.m. Art. 93 Abs. 1 lit. a BGG ; vgl. BGE 133 IV 335 E. 4 S. 338). Der Beschwerdeführer hat am vorinstanzlichen Verfahren teilgenommen und ist als Beschuldigter zur Beschwerde legitimiert (vgl. Art. 81 BGG ).</w:t>
      </w:r>
    </w:p>
    <w:p>
      <w:r>
        <w:rPr>
          <w:b/>
        </w:rPr>
        <w:t>E. 1.2</w:t>
      </w:r>
    </w:p>
    <w:p>
      <w:r>
        <w:t>Der angefochtene Entscheid wurde dem Beschwerdeführer am 11. Februar 2019 eröffnet. Die Beschwerde wurde am 7. März 2019 in Polen als eingeschriebene Sendung aufgegeben, von der Schweizerischen Post am 12. März 2019 in Empfang genommen und am 13. März 2019 dem Kantonsgericht von Graubünden zugestellt. Damit erweist sich die hier massgebliche 30-tägige Beschwerdefrist als gewahrt (vgl. Art. 100 Abs. 1 i.V.m. Art. 48 Abs. 1 BGG ; Urteil des Bundesgerichts 2C_754/2008 vom 23. Dezember 2008 E. 2.2 und 2.3). Dass der Beschwerdeführer die Beschwerde an die Vorinstanz adressierte, schadet ihm nicht ( Art. 48 Abs. 3 BGG ).</w:t>
      </w:r>
    </w:p>
    <w:p>
      <w:r>
        <w:rPr>
          <w:b/>
        </w:rPr>
        <w:t>E. 1.3</w:t>
      </w:r>
    </w:p>
    <w:p>
      <w:r>
        <w:t>Nach Art. 42 BGG haben Rechtsschriften an das Bundesgericht die Begehren und deren Begründung zu enthalten (Abs. 1); in der Begründung ist in gedrängter Form darzulegen, inwiefern der angefochtene Akt Recht verletzt (Abs. 2). Der Beschwerdeführer verlangt die "Nichtigerklärung" des angefochtenen Entscheids. Es ist offensichtlich, dass er damit dessen Aufhebung meint und damit einen zulässigen Antrag stellt. Seine Begründung ist zwar knapp; es ist aber erkennbar, dass er die Regeln über die Rechtsmittelfrist und -belehrung anruft. Seine Argumentation ist nachvollziehbar. Da es sich um eine Laienbeschwerde handelt, in der es letztlich gerade um die Zuteilung eines amtlichen Verteidigers geht, ist darauf einzutreten.</w:t>
      </w:r>
    </w:p>
    <w:p>
      <w:r>
        <w:rPr>
          <w:b/>
        </w:rPr>
        <w:t>E. 2.1</w:t>
      </w:r>
    </w:p>
    <w:p>
      <w:r>
        <w:t>Nach Art. 393 Abs. 1 lit. b StPO ist die Beschwerde zulässig gegen Verfügungen und Beschlüsse sowie die Verfahrenshandlungen der erstinstanzlichen Gerichte, mit Ausnahme von verfahrensleitenden Entscheiden. Gemäss Art. 396 StPO gilt dafür eine gesetzliche und daher nicht erstreckbare (vgl. Art. 89 Abs. 1 StPO ) Frist von zehn Tagen. Die Frist beginnt mit der Zustellung des begründeten Entscheids zu laufen ( Art. 384 lit. b StPO ). Die Ablehnung des Antrags des Beschwerdeführers um Beiordnung eines amtlichen Verteidigers durch das Regionalgericht am 6. September 2018 wurde dem Beschwerdeführer spätestens am 6. November 2018 zugestellt. Die am 19. November 2018 beim Kantonsgericht erhobene Beschwerde ist damit grundsätzlich verspätet.</w:t>
      </w:r>
    </w:p>
    <w:p>
      <w:r>
        <w:rPr>
          <w:b/>
        </w:rPr>
        <w:t>E. 2.2</w:t>
      </w:r>
    </w:p>
    <w:p>
      <w:r>
        <w:t>Gemäss der bundesgerichtlichen Rechtsprechung stellt das Fehlen der Rechtsmittelbelehrung einen Mangel dar, aus welchem den Parteien kein Rechtsnachteil erwachsen darf, wenn sich das zur Verfügung stehende Rechtsmittel nicht ohne weiteres aus dem Gesetz ergibt, das dem Betroffenen oder seinem Anwalt bekannt sein musste (Urteil des Bundesgerichts 1P.279/2002 vom 6. November 2002, E. 2, nicht publ. in BGE 129 I 151 ; BGE 122 IV 344 E. 4f S. 351; vgl. auch BGE 129 II 125 E. 3.3 S. 134). Diese Rechtsfolge stützt sich auf die Verfahrensgarantien nach Art. 29 Abs. 1 BV sowie für Strafverfahren auf Art. 81 Abs. 1 lit. d StPO . Die entsprechende strafprozessuale Bestimmung ist weit auszulegen und gilt für alle anfechtbaren Entscheide nach der Strafprozessordnung unabhängig davon, ob diese das Verfahren abschliessen oder nicht (Urteil des Bundesgerichts 6B_964/2013 vom 6. Februar 2015 E. 3.3.2). Das muss angesichts der grossen Tragweite für die Verfahrens- und Grundrechte der beschuldigten Person (vgl. dazu das Urteil des Bundesgerichts 1B_270/2017 vom 28. Juli 2017 E. 3) insbesondere für die Frage der amtlichen Verbeiständung zutreffen. Mit der Verfügung des Regionalgerichts Viamala vom 6. September 2018 wies dieses im Wesentlichen den Antrag um Beiordnung eines amtlichen Verteidigers ab und lud den Beschwerdeführer zur Hauptverhandlung vor. Sie enthielt lediglich eine richterliche Frist von 14 Tagen für die Stellung von Beweisergänzungsanträgen, die mit dem Erhalt der Vorladung zu laufen begann. Weder in der deutschen Fassung noch in der polnischen Übersetzung finden sich eine Rechtsmittelbelehrung noch erläuternde Ausführungen zur Fristwahrung vom Ausland aus. Daraus durfte dem Beschwerdeführer als anwaltlich nicht vertretenem juristischen Laien mit Wohnsitz im Ausland namentlich im Hinblick auf die Anfechtung der Verweigerung der amtlichen Verteidigung kein Nachteil erwachsen. Es kann nicht ohne weiteres davon ausgegangen werden, die diesbezüglichen Rechtsregeln hätten ihm bekannt sein müssen.</w:t>
      </w:r>
    </w:p>
    <w:p>
      <w:r>
        <w:rPr>
          <w:b/>
        </w:rPr>
        <w:t>E. 2.3</w:t>
      </w:r>
    </w:p>
    <w:p>
      <w:r>
        <w:t>Der angefochtene Entscheid verstösst demnach gegen Bundesrecht. Es ist nicht Sache des Bundesgerichts, direkt über die Streitfrage zu entscheiden, ob dem Beschwerdeführer ein amtlicher Verteidiger beizuordnen ist. Es wird vielmehr der Vorinstanz obliegen, die entsprechende Beschwerde zu behandeln. Insoweit kann auf die Beschwerde nicht eingetreten werden.</w:t>
      </w:r>
    </w:p>
    <w:p>
      <w:r>
        <w:rPr>
          <w:b/>
        </w:rPr>
        <w:t>E. 3</w:t>
      </w:r>
    </w:p>
    <w:p>
      <w:r>
        <w:t>Die Beschwerde erweist sich als begründet und ist gutzuheissen, soweit darauf eingetreten werden kann, und der angefochtene Entscheid ist aufzuheben. Die Streitsache ist an das Kantonsgericht zurückzuweisen zur inhaltlichen Prüfung der Beschwerde gegen die Verweigerung der amtlichen Verteidigung durch das Regionalgericht. Bei diesem Verfahrensausgang sind keine Kosten zu erheben ( Art. 66 Abs. 1 und 4 BGG ). Eine Parteientschädigung für das bundesgerichtliche Verfahren wird nicht verlangt und ist dem anwaltlich nicht vertretenen Beschwerdeführer praxisgemäss nicht zuzusprechen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