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128/2018 vom 23. Juli 2018</w:t>
      </w:r>
    </w:p>
    <w:p>
      <w:r>
        <w:t>Bundesgericht, 2018-07-23, FR</w:t>
      </w:r>
    </w:p>
    <w:p>
      <w:r>
        <w:rPr>
          <w:b/>
        </w:rPr>
        <w:t xml:space="preserve">Quelle: </w:t>
      </w:r>
      <w:r>
        <w:t>https://mcp.opencaselaw.ch/entscheid/bger_1B_128_2018</w:t>
      </w:r>
    </w:p>
    <w:p>
      <w:r>
        <w:t>FR: TF 1B 128/2018 du 23 juillet 2018</w:t>
      </w:r>
    </w:p>
    <w:p>
      <w:r>
        <w:t>IT: TF 1B 128/2018 del 23 luglio 2018</w:t>
      </w:r>
    </w:p>
    <w:p>
      <w:pPr>
        <w:pStyle w:val="Heading2"/>
      </w:pPr>
      <w:r>
        <w:t>Regeste</w:t>
      </w:r>
    </w:p>
    <w:p>
      <w:r>
        <w:t>procédure pénale; refus de désignation d'un défenseur d'office | Procédure pénale</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recourant, prévenu, un préjudice irréparable au sens de l' art. 93 al. 1 let. a LTF , de sorte qu'il peut faire l'objet d'un recours immédiat au Tribunal fédéral ( ATF 140 IV 202 consid. 2.2 p. 205; 133 IV 335 consid. 4 p. 338 s. et les références). Dans les limites du respect du délai de recours de l' art. 100 al. 1 LTF - échu en l'occurrence le 7 mars 2018 -, le recourant était libre de déposer une écriture complémentaire à son mémoire de recours - écriture par ailleurs déposée en temps utile contre une décision rendue en dernière instance cantonale ( art. 80 LTF ) -, ce qu'il n'a pas fait. N'ayant pas non plus conclu à la nomination d'un avocat d'office pour la procédure fédérale, sa conclusion tendant à pouvoir compléter son recours est donc sans objet. Tel est également le cas de celle tendant à pouvoir répliquer, dès lors que le recourant a été invité à le faire, mais qu'il n'a déposé aucune écriture dans le délai imparti - et prolongé à sa requête - pour ce faire. S'agissant des autres conclusions prises par le recourant, elles sont recevables ( art. 107 al. 2 LTF ). Partant, il y a lieu d'entrer en matière.</w:t>
      </w:r>
    </w:p>
    <w:p>
      <w:r>
        <w:rPr>
          <w:b/>
        </w:rPr>
        <w:t>E. 2</w:t>
      </w:r>
    </w:p>
    <w:p>
      <w:r>
        <w:t>Se prévalant des art. 9 Cst. , 130 et 132 CPP, ainsi que de la CEDH, le recourant reproche à l'autorité précédente de ne pas lui avoir désigné un défenseur d'office; une telle nécessité s'imposerait eu égard à son état de santé et serait attestée par les certificats médicaux produits.</w:t>
      </w:r>
    </w:p>
    <w:p>
      <w:r>
        <w:rPr>
          <w:b/>
        </w:rPr>
        <w:t>E. 2.1</w:t>
      </w:r>
    </w:p>
    <w:p>
      <w:r>
        <w:t>En dehors des cas de défense obligatoire - dont notamment l' art. 130 let . c CPP, disposition citée par le recourant mais sans autre indication quant à une possible application dans le cas d'espèce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Si les deux conditions mentionnées à l' art. 132 al. 2 CPP doivent être réunies cumulativement, il n'est pas exclu que l'intervention d'un défenseur soit justifiée par d'autres motifs (comme l'indique l'adverbe "notamment"; ATF 143 I 164 consid. 3.4 p. 173 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1B_93/2018 du 29 mai 2018 consid. 3.1 et les arrêts cités dont l'arrêt 1B_477/2011 du 4 janvier 2012 consid. 2.2) Les critères énoncés par l'art. 132 al. 1 let. b, al. 2 et 3 CPP reprennent largement la jurisprudence du Tribunal fédéral en matière d'assistance judiciaire, rendue sur la base des art. 29 al. 3 Cst. et 6 ch. 3 let. c CEDH. Selon la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1B_93/2018 du 29 mai 2018 consid. 3.1;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140 V 521 consid. 9.1 p. 537).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1B_93/2018 du 29 mai 2018 consid. 3.1 et les nombreux arrêts cités).</w:t>
      </w:r>
    </w:p>
    <w:p>
      <w:r>
        <w:rPr>
          <w:b/>
        </w:rPr>
        <w:t>E. 2.2</w:t>
      </w:r>
    </w:p>
    <w:p>
      <w:r>
        <w:t>En l'espèce, l'indigence du recourant est établie (cf. consid. 2.2/d p. 8 de l'arrêt attaqué). Celui-ci ne conteste pas que sa cause est dénuée de toute gravité, que ce soit eu égard aux faits, au droit ou à la peine encourue (cf. consid. 2.2/d p. 7 s. et ad 15 de son mémoire de recours p. 3). En revanche, le recourant soutient que son état de santé ne lui permettrait pas de se défendre seul et de manière efficace sans l'assistance d'un avocat. Si le recourant ne soulève aucune argumentation tendant à remettre en cause ses capacités intellectuelles au moment de faire opposition (contenu circonstancié de cette écriture et documents produits à l'appui de ses dires), ainsi que lors de ses déclarations devant le Préfet (propos constants), il prétend en revanche que son état de santé se serait ensuite péjoré, ce qui serait démontré par les certificats médicaux produits (cf. ad 21 ss p. 4 de son mémoire). Ces documents établissent certes un suivi psychiatrique du recourant. Cela étant, celui-ci a débuté en 2015, soit antérieurement à la procédure pénale. De plus, ainsi que l'a retenu la cour cantonale, il n'y est pas fait mention d'un trouble invalidant ou d'un retard mental de nature à empêcher - notamment sur le long terme - le prévenu d'assurer la défense de ses intérêts. L'un des certificats médicaux présenté se réfère d'ailleurs à un acte précis de la procédure, à savoir l'audience appointée au 2 octobre 2017 et le Tribunal de police n'a pas ignoré l'éventuel empêchement du recourant de procéder de manière stable et structurée à ce moment-là, puisque cette audience n'a pas eu lieu. Sans autre explication sur le trouble dont le recourant souffre, sur le traitement suivi et sur les conséquences pouvant en découler, aucun élément ne permet de considérer en l'état que le recourant ne serait pas apte à se défendre, tel qu'il l'a fait lors de son opposition et devant le Préfet, respectivement en déposant - certes peut-être avec l'assistance d'un ami juriste - un mémoire en temps utile et répondant aux exigences de forme au Tribunal fédéral. En tout état de cause, en cas de doute sur la capacité de procéder d'un intéressé (sur cette notion, notamment en lien avec l' art. 130 let . c CPP, voir arrêt 1B_285/2016 du 1er septembre 2016 consid. 2.1 et les références citées), l'autorité devra examiner d'office cette question (arrêts 6B_79/2017 du 22 mars 2017 consid. 2.1; 1B_279/2014 du 3 novembre 2014 consid. 2.1.1 publié in SJ 2015 I 172) et prendre, le cas échéant, les mesures nécessaires (report d'audience, demande d'expertise médicale et/ou désignation d'un défenseur d'office). Au regard de ces considérations, la Chambre des recours pénale pouvait, sans violer le droit fédéral, confirmer en l'état le refus du Président du Tribunal de police de nommer un défenseur d'office au recourant.</w:t>
      </w:r>
    </w:p>
    <w:p>
      <w:r>
        <w:rPr>
          <w:b/>
        </w:rPr>
        <w:t>E. 3</w:t>
      </w:r>
    </w:p>
    <w:p>
      <w:r>
        <w:t>Il s'ensuit que le recours est rejeté. Le recourant a demandé l'octroi de l'assistance judiciaire ( art. 64 al. 1 LTF ). Les conditions y relatives étant réunies, il y a lieu de statuer sans frais.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