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127/2019 vom 4. April 2019</w:t>
      </w:r>
    </w:p>
    <w:p>
      <w:r>
        <w:t>Bundesgericht, 2019-04-04, FR</w:t>
      </w:r>
    </w:p>
    <w:p>
      <w:r>
        <w:rPr>
          <w:b/>
        </w:rPr>
        <w:t xml:space="preserve">Quelle: </w:t>
      </w:r>
      <w:r>
        <w:t>https://mcp.opencaselaw.ch/entscheid/bger_1B_127_2019</w:t>
      </w:r>
    </w:p>
    <w:p>
      <w:r>
        <w:t>FR: TF 1B 127/2019 du 4 avril 2019</w:t>
      </w:r>
    </w:p>
    <w:p>
      <w:r>
        <w:t>IT: TF 1B 127/2019 del 4 aprile 2019</w:t>
      </w:r>
    </w:p>
    <w:p>
      <w:pPr>
        <w:pStyle w:val="Heading2"/>
      </w:pPr>
      <w:r>
        <w:t>Regeste</w:t>
      </w:r>
    </w:p>
    <w:p>
      <w:r>
        <w:t>détention provisoire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Selon l'art. 81 al. 1 let. a et b ch. 1 LTF, le recourant, prévenu détenu, a qualité pour recourir. Le recours a été formé en temps utile ( art. 100 al. 1 LTF ) contre une décision rendue par une autorité statuant en tant que dernière instance cantonale ( art. 80 LTF ) et les conclusions présentées sont recevables au regard de l' art. 107 al. 2 LTF . Il y a donc lieu d'entrer en matière.</w:t>
      </w:r>
    </w:p>
    <w:p>
      <w:r>
        <w:rPr>
          <w:b/>
        </w:rPr>
        <w:t>E. 2</w:t>
      </w:r>
    </w:p>
    <w:p>
      <w:r>
        <w:t>Les pièces déposées par le recourant ultérieures à l'arrêt attaqué sont irrecevables ( art. 99 al. 1 LTF ; cf. le courrier électronique du responsable de Caritas Espace Solidarité).</w:t>
      </w:r>
    </w:p>
    <w:p>
      <w:r>
        <w:rPr>
          <w:b/>
        </w:rPr>
        <w:t>E. 3</w:t>
      </w:r>
    </w:p>
    <w:p>
      <w:r>
        <w:t>Dans un premier grief, le recourant se plaint de violations de son droit d'être entendu.</w:t>
      </w:r>
    </w:p>
    <w:p>
      <w:r>
        <w:rPr>
          <w:b/>
        </w:rPr>
        <w:t>E. 3.1</w:t>
      </w:r>
    </w:p>
    <w:p>
      <w:r>
        <w:t>Il soutient tout d'abord que l'autorité précédente ne se serait pas prononcée sur les moyens de preuve offerts et n'aurait pas motivé son refus. Il y a tout d'abord lieu de relever que le courrier du 12 mars 2019 dont se prévaut le recourant - adressé au demeurant uniquement en courrier A - a été reçu par l'autorité cantonale le lendemain du prononcé attaqué (cf. le timbre qui y est apposé). Il ne peut donc lui être reproché de ne pas en avoir tenu compte, notamment s'agissant de la réquisition de preuve nouvellement proposée (cf. le rapport du docteur I.________ requis). Quant aux deux autres éléments invoqués dans ce courrier (certificat de travail et rapport de l'Office d'exécution des sanctions et de probation), ils ont effectivement été mentionnés dans les observations déposées, envoyées cette fois par télécopie et sous pli simple, par le recourant le 11 mars 2019 (cf. en particulier les moyens de preuve proposés en p. 6). Certes, la cour cantonale ne s'est pas prononcée expressément sur ces moyens de preuve. Il n'en résulte cependant pas une violation du droit d'être entendu du recourant. En effet, il ressort de l'arrêt attaqué que l'autorité précédente a considéré que "les règles de conduite prononcées le 20 décembre 2018 ne sembl[ai]ent pas détourner A.________ de comportements violents" et que "Le fait de travailler depuis sept mois ne l'a[vait] pas empêché de commettre plusieurs actes de violence" (cf. consid. 3 p. 11 de l'arrêt entrepris). Son raisonnement se fonde ainsi sur la prémisse que le recourant a un travail et qu'il a respecté les règles de conduite ordonnées par le jugement de décembre 2018 - même si à cet égard la cour cantonale émet quelques doutes -, soit les éléments que les pièces produite (cf. le certificat de travail) et requise (cf. le rapport de l'Office d'exécution des sanctions et de probation) devaient démontrer. Faute de pertinence pour son appréciation - qui peut certes ensuite déplaire au recourant -, la cour cantonale pouvait ainsi et sans arbitraire statuer sans attendre ou requérir ces moyens de preuve (appréciation anticipée, cf. ATF 144 II 427 consid. 3.1.3 p. 435; 141 I 60 consid. 3.3 p. 64) et ce grief peut ainsi être écarté.</w:t>
      </w:r>
    </w:p>
    <w:p>
      <w:r>
        <w:rPr>
          <w:b/>
        </w:rPr>
        <w:t>E. 3.2</w:t>
      </w:r>
    </w:p>
    <w:p>
      <w:r>
        <w:t>Le recourant reproche ensuite à l'autorité précédente d'avoir statué uniquement sur la base du dossier (cf. p. 11 du mémoire). Ce faisant et dans la mesure où ce grief remplirait les exigences en matière de motivation ( art. 42 al. 2 LTF ), le recourant se plaint en substance de l'absence d'audience devant l'autorité de recours. Il ne soutient cependant pas avoir requis son audition, notamment dans ses observations du 11 mars 2019, ou que les circonstances d'espèce auraient justifié que celle-ci soit mise en oeuvre d'office (cf. art. 390 al. 5 CPP ). Partant, dès lors que la procédure de recours est en principe écrite (cf. art. 397 al. 1 CPP ; arrêts 1B_486/2018 du 22 novembre 2018 consid. 6.4; 1B_26/2017 du 8 février 2017 consid. 2.1), la cour cantonale n'a pas violé le droit d'être entendu du recourant en statuant sur la base du dossier à sa disposition.</w:t>
      </w:r>
    </w:p>
    <w:p>
      <w:r>
        <w:rPr>
          <w:b/>
        </w:rPr>
        <w:t>E. 4</w:t>
      </w:r>
    </w:p>
    <w:p>
      <w:r>
        <w:t>Le recourant ne conteste pas l'existence de charges suffisantes pesant à son encontre ( art. 221 al. 1 CPP ). Il ne remet pas non plus en cause le risque de réitération retenu par l'autorité précédente, ainsi que la nécessité de mettre en oeuvre une expertise psychiatrique afin d'évaluer sa dangerosité. Il se plaint en revanche d'une violation du principe de proportionnalité, soutenant que des mesures de substitution permettraient de réduire le risque retenu.</w:t>
      </w:r>
    </w:p>
    <w:p>
      <w:r>
        <w:rPr>
          <w:b/>
        </w:rPr>
        <w:t>E. 4.1</w:t>
      </w:r>
    </w:p>
    <w:p>
      <w:r>
        <w:t>A teneur de l' art. 237 al. 1 CPP , le tribunal compétent ordonne une ou plusieurs mesures moins sévères en lieu et place de la détention provisoire ou pour des motifs de sûreté si ces mesures permettent d'atteindre le même but que la détention. Cette disposition est une concrétisation du principe de la proportionnalité ( art. 36 al. 3 Cst. ) qui impose d'examiner les possibilités de mettre en oeuvre d'autres solutions moins dommageables que la détention ( ATF 142 IV 367 consid. 2.1 p. 370).</w:t>
      </w:r>
    </w:p>
    <w:p>
      <w:r>
        <w:rPr>
          <w:b/>
        </w:rPr>
        <w:t>E. 4.2</w:t>
      </w:r>
    </w:p>
    <w:p>
      <w:r>
        <w:t>La cour cantonale a considéré que les mesures retenues par le Tmc se recoupaient largement avec celles prononcées par le jugement du 20 décembre 2018, lesquelles faisaient également déjà suite à d'autres mesures de substitution; l'autorité de jugement avait cependant constaté que le respect de ces mesures n'avait de loin pas été parfait (absence à certains rendez-vous de probation, ainsi que durant une longue période aux examens d'urine, aucune mise en oeuvre du suivi psychiatrique attendu [un seul rendez-vous]). L'autorité précédente a ensuite relevé que ces règles de conduite, ainsi que le fait de travailler depuis sept mois n'avaient pas détourné le recourant de comportements violents, motivés par des broutilles et largement minimisés ou dont la responsabilité était rejetée sur les victimes; reprochant à la mère de sa fille son irresponsabilité en sortant, lui-même n'avait pourtant pas hésité, malgré son inquiétude pour sa fille - ce qui aurait expliqué sa violence -, à se rendre chez le coiffeur, puis à Europa-park. Les juges cantonaux ont relevé que la détention ordonnée pourrait mettre l'insertion professionnelle du recourant en péril, mais que la pesée des intérêts en cause commandait un tel maintien, les mesures de substitution paraissant d'emblée, à ce stade, inefficaces.</w:t>
      </w:r>
    </w:p>
    <w:p>
      <w:r>
        <w:rPr>
          <w:b/>
        </w:rPr>
        <w:t>E. 4.3</w:t>
      </w:r>
    </w:p>
    <w:p>
      <w:r>
        <w:t>Ce raisonnement ne prête pas le flanc à la critique. Le recourant ne développe d'ailleurs aucune argumentation propre à le remettre en cause. Il prétend certes que des mesures supplémentaires, "sensiblement plus contraignantes" aux règles de conduite prononcées en décembre 2018, auraient été ordonnées par le Tmc. Il ne suffit cependant pas que les mesures soient plus nombreuses pour assurer que le recourant se conformerait aux obligations qui lui seraient imposées, respectivement soit enfin dissuadé de recourir à la violence. Cela vaut d'ailleurs d'autant plus que ces mesures ne sont pas fondamentalement différentes de celles ordonnées préalablement, à savoir des suivis par différents organismes et que leur respect paraît reposer avant tout sur la volonté du recourant de s'y soumettre. Quant aux interdictions d'approcher et de contacter la mère de sa fille, leurs effets sont plus que limités vu le droit de visite réservé. En outre, au regard des événements de mars 2019 liés notamment à cette problématique, il ne paraît de loin pas exclu que des échanges même restreints à cette seule question puissent à nouveau engendrer des comportements violents du recourant, notamment à l'encontre de la mère de sa fille. Les actes du recourant ayant également été dirigés contre d'autres personnes que cette dernière, la mesure de restriction proposée ne suffit pas ainsi à garantir la sécurité des tiers. Le recourant ne saurait pas non plus se prévaloir de l'existence d'un travail ou d'un domicile pour démontrer une évolution favorable, puisque ces circonstances - et les règles de conduite ordonnées en décembre 2018 notamment sur la base du rapport du 23 novembre 2018 de l'Office d'exécution des sanction et de probation (cf. en particulier p. 14 dudit jugement) - n'ont notamment pas empêché les actes de mars 2019. Pour ce même motif, il ne peut pas non plus se prévaloir de l'appréciation effectuée le 20 décembre 2018 par l'autorité de jugement pour accorder le sursis à la peine privative de liberté ordonnée à son encontre; l'hypothèse d'une éventuelle révocation de cette mesure ne semble d'ailleurs pas non plus l'avoir dissuadé de recourir à la violence deux mois à peine après ce jugement (cf. ch. 6 du dispositif du jugement du 20 décembre 2018). Certes, un placement en détention peut ne pas être dénué de toute conséquence pour le recourant (éventuelles pertes de son emploi, de son logement, de son droit de visite et/ou de son permis de séjour). Cela étant, vu le défaut de mesures de substitution adéquates pour réduire le risque de récidive - réalisé au regard des différents cas faisant l'objet de la procédure pénale en cours contre le recourant -, il se justifie en l'état de privilégier la sécurité publique. Le principe de proportionnalité est d'ailleurs d'autant moins violé en l'occurrence que l'autorité précédente n'a ordonné la détention provisoire du recourant que sur une période limitée, notamment afin qu'un rapport d'expertise - ou un premier avis ( ATF 143 IV 9 consid. 2.8 p. 16 s.) - sur sa dangerosité puisse être rendu; cette mesure - non contestée - paraît au demeurant pleinement justifiée en l'occurrence, l'expert pouvant aussi, le cas échéant, proposer des traitements propres à diminuer le risque de récidive (arrêts 1B_210/2018 du 17 mai 2018 consid. 2.3; 1B_94/2014 du 21 mars 2014 consid. 3.2 et les arrêts cités, publié in SJ 2014 I 408).</w:t>
      </w:r>
    </w:p>
    <w:p>
      <w:r>
        <w:rPr>
          <w:b/>
        </w:rPr>
        <w:t>E. 4.4</w:t>
      </w:r>
    </w:p>
    <w:p>
      <w:r>
        <w:t>Au regard de ces éléments, la cour cantonale pouvait, sans violer le droit fédéral, ordonner le placement en détention provisoire du recourant en raison de l'existence d'un risque de réitération qu'aucune mesure de substitution ne permet en l'état de réduire.</w:t>
      </w:r>
    </w:p>
    <w:p>
      <w:r>
        <w:rPr>
          <w:b/>
        </w:rPr>
        <w:t>E. 5</w:t>
      </w:r>
    </w:p>
    <w:p>
      <w:r>
        <w:t>Il s'ensuit que le recours est rejeté dans la mesure où il est recevable. Le recourant a demandé l'assistance judiciaire ( art. 64 al. 1 LTF ). Les conditions y relatives paraissant réunies, il y a lieu d'admettre cette requête et de désigner Me Mathias Bauer en tant qu'avocat d'office pour la procédure fédérale et de lui allouer une indemnité à titre d'honoraires, qui seront supportés par la caisse du tribunal. Il n'est pas perçu de frais judiciaires (art. 66 al. 4 et 64 al. 1 LTF),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