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127/2009 vom 11. September 2009</w:t>
      </w:r>
    </w:p>
    <w:p>
      <w:r>
        <w:t>Bundesgericht, 2009-09-11, FR</w:t>
      </w:r>
    </w:p>
    <w:p>
      <w:r>
        <w:rPr>
          <w:b/>
        </w:rPr>
        <w:t xml:space="preserve">Quelle: </w:t>
      </w:r>
      <w:r>
        <w:t>https://mcp.opencaselaw.ch/entscheid/bger_1B_127_2009</w:t>
      </w:r>
    </w:p>
    <w:p>
      <w:r>
        <w:t>FR: TF 1B 127/2009 du 11 septembre 2009</w:t>
      </w:r>
    </w:p>
    <w:p>
      <w:r>
        <w:t>IT: TF 1B 127/2009 del 11 settembre 2009</w:t>
      </w:r>
    </w:p>
    <w:p>
      <w:pPr>
        <w:pStyle w:val="Heading2"/>
      </w:pPr>
      <w:r>
        <w:t>Regeste</w:t>
      </w:r>
    </w:p>
    <w:p>
      <w:r>
        <w:t>restitution aux lésés de fonds séquestrés | Procédure pénale</w:t>
      </w:r>
    </w:p>
    <w:p>
      <w:pPr>
        <w:pStyle w:val="Heading2"/>
      </w:pPr>
      <w:r>
        <w:t>Erwägungen</w:t>
      </w:r>
    </w:p>
    <w:p>
      <w:r>
        <w:rPr>
          <w:b/>
        </w:rPr>
        <w:t>E. 1.1</w:t>
      </w:r>
    </w:p>
    <w:p>
      <w:r>
        <w:t>Les décisions relatives à la levée d'un séquestre pénal sont des décisions en matière pénale au sens de l' art. 78 al. 1 LTF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1.2</w:t>
      </w:r>
    </w:p>
    <w:p>
      <w:r>
        <w:t>L'arrêt attaqué, qui ordonne la levée du séquestre en vue de la restitution des valeurs au lésé, règle la question de l'appartenance des valeurs séquestrées de manière définitive et non seulement de façon temporaire. La mesure litigieuse ne saurait donc être qualifiée de mesure provisionnelle au sens de l' art. 98 LTF , et le recourant peut ainsi soulever les motifs prévus aux art. 95 à 97 LTF et non seulement la violation de droits constitutionnels (cf. arrêt 6B_1035/2008 du 11 mai 2009 consid. 1.5).</w:t>
      </w:r>
    </w:p>
    <w:p>
      <w:r>
        <w:rPr>
          <w:b/>
        </w:rPr>
        <w:t>E. 2</w:t>
      </w:r>
    </w:p>
    <w:p>
      <w:r>
        <w:t>Le recourant dénonce une violation arbitraire de l' art. 70 al. 1 CP . Il fait valoir que les fonds saisis par le Juge d'instruction proviennent de montants crédités sur son compte après le virement des montants litigieux et qui n'ont aucun lien avec la procédure pénale en cours. Les juges cantonaux ne pouvaient donc pas considérer que l'origine des valeurs patrimoniales était clairement identifiable. En outre, il se plaint que la restitution est prématurée en l'état de la procédure et conteste que les montants saisis soient le résultat d'une infraction qu'il aurait commise.</w:t>
      </w:r>
    </w:p>
    <w:p>
      <w:r>
        <w:rPr>
          <w:b/>
        </w:rPr>
        <w:t>E. 3</w:t>
      </w:r>
    </w:p>
    <w:p>
      <w:r>
        <w:t>L' art. 70 al. 1 CP autorise le juge à confisquer des valeurs patrimoniales qui sont le résultat d'une infraction, si elles ne doivent pas être restituées au lésé en rétablissement de ses droits. Lorsque les valeurs à confisquer ne sont plus disponibles, il ordonne, selon l' art. 71 CP , leur remplacement par une créance compensatrice (et peut, dans ce but, ordonner, en vertu de l' art. 71 al. 3 CP , le séquestre d'éléments du patrimoine). La restitution au lésé vise, en première ligne, les objets provenant directement du patrimoine du lésé et tend au rétablissement de ses droits absolus (restitution de l'objet volé). 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De même, le produit original de l'infraction formé de telles valeurs reste confiscable lorsqu'il est investi dans une chose corporelle telle qu'un immeuble, ou inversement, lorsqu'il passe à plusieurs reprises d'une forme à l'autre (biens acquis en remploi improprement dit; ATF 128 I 129 consid. 3.1.2 p. 133; arrêt 6S.667/2000 du 19 février 2001, SJ 2001 I 330, consid. 3b/bb et les nombreuses références). La restitution doit porter sur des valeurs patrimoniales qui sont le produit d'une infraction dont le lésé a été lui-même victime.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C'est en particulier le cas lorsque l'obtention des valeurs patrimoniales est un élément objectif ou subjectif de l'infraction ou lorsqu'elle constitue une avantage direct découlant de la commission de l'infraction (cf. arrêt 6S.667/2000 du 19 février 2001, SJ 2001 I 330, consid. 3a; arrêt 6S.819/1998 du 4 mai 1999, SJ 1999 I 417, consid. 2, et les références citées dans ces arrêts). La confiscation intervient toutefois indépendamment de l'identification de l'auteur et de la punissabilité d'une personne déterminée ( ATF 122 IV 91 consid. 3b p. 94; 115 IV 175 consid. 1 p. 177). La décision de restitution ne doit pas forcément être prise par le juge du fond, mais peut l'être, sous réserve d'une voie de recours cantonale à une autorité judiciaire, par l'autorité d'instruction ( ATF 128 I 129 consid. 3.1.2 p. 133; 126 IV 107 consid. 1b/cc p. 110 s. ainsi que consid. 4 p. 112). Dans ce cas, la situation juridique doit être suffisamment claire et un tiers ne doit pas faire valoir de meilleurs droits (cf. ATF 128 I 129 consid. 3.1.2 p. 133; 122 IV 365 consid. 2b p. 374).</w:t>
      </w:r>
    </w:p>
    <w:p>
      <w:r>
        <w:rPr>
          <w:b/>
        </w:rPr>
        <w:t>E. 4</w:t>
      </w:r>
    </w:p>
    <w:p>
      <w:r>
        <w:t>En l'espèce, la Chambre d'accusation a confirmé la restitution des fonds séquestrés ordonnée par l'autorité d'instruction, considérant pour l'essentiel que les avoirs litigieux étaient ceux appartenant aux lésés, soit aux époux B.________ et C.________, et que le recourant n'était en aucun cas légitimé à les garder par devers lui.</w:t>
      </w:r>
    </w:p>
    <w:p>
      <w:r>
        <w:rPr>
          <w:b/>
        </w:rPr>
        <w:t>E. 4.1</w:t>
      </w:r>
    </w:p>
    <w:p>
      <w:r>
        <w:t>Il ressort du relevé bancaire du 26 septembre 2008 du compte n° zzz du recourant (mouvements du 1er janvier 2006 au 29 septembre 2008) que les sommes versées par Me K.________ le 5 mai 2008 ont fait passer le solde de 134.29 USD à 212'721.11 USD puis à 571'129.47 USD. Ensuite, le compte a connu divers mouvements, le solde est descendu à moins 90'448.73 USD le 7 mai 2008 pour atteindre 288'750.41 USD après la dernière opération du 17 septembre 2008. Le recourant fait valoir que les fonds saisis par le Juge d'instruction le 9 octobre 2008 proviennent de montants crédités sur son compte après le virement des montants litigieux et ne peuvent donc pas être ceux des lésés. D'après la jurisprudence précitée ( ATF 128 I 129 consid. 3.1.2 p. 133; arrêt 6S.667/2000 du 19 février 2001, SJ 2001 I 330, consid. 3b/bb), lorsqu'il s'agit de sommes d'argent, la restitution peut aussi porter sur d'autres valeurs patrimoniales, tels des avoirs en compte, lorsque les premières ont été substituées ou mélangées, dans la mesure où leur origine et leurs mouvements peuvent être clairement établis. Dans la mesure où le recourant n'allègue pas avoir transféré à un tiers les sommes reçues de Me K.________, il n'est donc pas déterminant que l'argent des lésés ait été entre temps débité du compte du recourant et que les valeurs qui s'y trouvaient lors du séquestre correspondent à des montants qui ont été versés par après. En l'occurrence, la traçabilité des valeurs patrimoniales litigieuses a été établie au cours de la procédure: il n'est en effet pas contesté que l'argent qui se trouvait sur l'escrow account de Me H.________ était celui des lésés et que Me H.________ a donné l'ordre le 15 avril 2008 de débiter ce compte du montant de 860'139.27 EUR (soit la somme convertie de 660'697 ? plus les intérêts) en faveur du compte de G.________. Le 1er mai 2008, un montant de 750'000 EUR a été transféré du compte de G.________ sur le compte de K.________, agent du recourant, en exécution du contrat du 24 avril 2008. Le 5 mai 2008, K.________ a transféré sur le compte du recourant 212'586.82 USD (dont 148'125 USD ont été viré sur le compte de N.________) puis 506'533.36 USD. Il apparaît ainsi que les valeurs patrimoniales confisquées appartiennent effectivement aux époux B.________ et C.________ et que la situation est claire sur ce point.</w:t>
      </w:r>
    </w:p>
    <w:p>
      <w:r>
        <w:rPr>
          <w:b/>
        </w:rPr>
        <w:t>E. 4.2</w:t>
      </w:r>
    </w:p>
    <w:p>
      <w:r>
        <w:t>Il sied encore d'examiner si les fonds litigieux constituent le produit d'une infraction pénale. Le recourant estime que la restitution est prématurée, en l'état de la procédure, puisque l'instruction n'est de loin pas terminée; il n'a par ailleurs pas pu commettre un abus de confiance envers des lésés qu'il ne connaissait pas et il ne pouvait être au courant ni des rapports liant G.________ aux lésés ni d'une éventuelle infraction commise par les responsables de la première à l'endroit des seconds. Comme l'ont relevé dans leur réponse les intimés B.________ et C.________, le recourant a admis en cours de procédure savoir que les fonds provenaient du compte des époux B.________ et C.________ (voir procès-verbal de l'audience du 7 mai 2009, p. 7). Il importe toutefois peu que le recourant connaissait les époux B.________ et C.________ ou pas et qu'il soit ou non l'auteur de l'infraction ayant généré la somme versée sur son compte, puisque la confiscation intervient indépendamment de l'identification de l'auteur. Le recourant ne conteste pas que la somme litigieuse a été versée sur son compte sans contre-prestation de sa part et il apparaît que celui-ci n'avait aucun droit légitime sur ces avoirs. Selon le contrat du 28 avril 2008, Me K.________ n'était en effet autorisé à transférer les avoirs sur le compte du recourant qu'une fois la garantie bancaire acceptée par la banque de G.________, à savoir la banque J.________; or, il ne ressort pas de la procédure que tel ait été le cas. Par ailleurs, le recourant a été inculpé d'abus de confiance, voire d'escroquerie, ainsi que de blanchiment d'argent. D.________ et E.________ ont également été inculpés d'abus de confiance, voire d'escroquerie. Même si l'instruction n'est pas terminée et que la responsabilité des divers inculpés n'a pas encore été déterminée, il est manifeste que la somme versée sur le compte du recourant est le résultat d'une infraction au sens de l' art. 70 al. 1 CP , soit d'un abus de confiance, voire d'une escroquerie, dont les lésés ont été directement les victimes. On peut finalement relever que le recourant ne prétend pas qu'il serait un tiers qui remplirait les conditions de l' art. 70 al. 2 CP .</w:t>
      </w:r>
    </w:p>
    <w:p>
      <w:r>
        <w:rPr>
          <w:b/>
        </w:rPr>
        <w:t>E. 4.3</w:t>
      </w:r>
    </w:p>
    <w:p>
      <w:r>
        <w:t>Il résulte de ce qui précède que la Chambre cantonale n'a pas violé le droit fédéral en confirmant la restitution des avoirs litigieux aux époux B.________ et C.________, la situation juridique étant suffisamment claire et personne n'ayant fait valoir de meilleurs droits.</w:t>
      </w:r>
    </w:p>
    <w:p>
      <w:r>
        <w:rPr>
          <w:b/>
        </w:rPr>
        <w:t>E. 5</w:t>
      </w:r>
    </w:p>
    <w:p>
      <w:r>
        <w:t>Les considérants qui précèdent conduisent au rejet du recours. Le recourant, qui succombe, doit supporter les frais judiciaires ( art. 65 et 66 LTF ). Il versera une indemnité de dépens aux lésés B.________ et C.________, qui ont produit un mémoire de réponse. Une indemnité réduite sera allouée à l'intimé E.________, qui a pris des conclusions sans développer de motivation, alors que l'intimé D.________, qui n'a pris de conclusion,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