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1B_126/2019 vom 8. April 2019</w:t>
      </w:r>
    </w:p>
    <w:p>
      <w:r>
        <w:t>Bundesgericht, 2019-04-08, DE</w:t>
      </w:r>
    </w:p>
    <w:p>
      <w:r>
        <w:rPr>
          <w:b/>
        </w:rPr>
        <w:t xml:space="preserve">Quelle: </w:t>
      </w:r>
      <w:r>
        <w:t>https://mcp.opencaselaw.ch/entscheid/bger_1B_126_2019</w:t>
      </w:r>
    </w:p>
    <w:p>
      <w:r>
        <w:t>FR: TF 1B_126/2019 du 8 avril 2019</w:t>
      </w:r>
    </w:p>
    <w:p>
      <w:r>
        <w:t>IT: TF 1B_126/2019 del 8 aprile 2019</w:t>
      </w:r>
    </w:p>
    <w:p>
      <w:pPr>
        <w:pStyle w:val="Heading2"/>
      </w:pPr>
      <w:r>
        <w:t>Erwägungen</w:t>
      </w:r>
    </w:p>
    <w:p>
      <w:r>
        <w:rPr>
          <w:b/>
        </w:rPr>
        <w:t>E. 1.1</w:t>
      </w:r>
    </w:p>
    <w:p>
      <w:r>
        <w:t>Angefochten ist ein kantonal letztinstanzlicher Entscheid in einer strafrechtlichen Angelegenheit. Dagegen steht die Beschwerde nach Art. 78 ff. BGG offen.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 gutzumachende Nachteil ergeben soll, sofern dies nicht offensichtlich ist ( BGE 138 III 46 E. 1.2 S. 47; zum Ganzen: BGE 141 IV 284 E. 2.3 S. 287; 289 E. 1.3 S. 292). Die konkreten Begründungsanforderungen für die Anfechtung von Entsiegelungsentscheiden wurden dem Beschwerdeführer im Urteil 1B_196/2018 vom 26. November 2018 bereits eingehend erläutert (E. 1.2 und 1.3); darauf wird verwiesen. Insbesondere wurde er dabei darauf hingewiesen, dass der Umstand allein, dass ein Beweismittel in den Akten verbleibt und durchsucht werden kann, grundsätzlich kein Nachteil im Sinn von Art. 93 Abs. 1 lit. a BGG darstellt.</w:t>
      </w:r>
    </w:p>
    <w:p>
      <w:r>
        <w:rPr>
          <w:b/>
        </w:rPr>
        <w:t>E. 1.2</w:t>
      </w:r>
    </w:p>
    <w:p>
      <w:r>
        <w:t>Der Beschwerdeführer führt diesbezüglich einzig Folgendes aus (Beschwerde Ziff. 4 S. 4) : "Wenn am 19.03.2019 Asservate an die Beschwerdegegnerin herausgegeben würden, wären die Folgen hiervon nicht wiedergutzumachen, das Resultat einer Beschwerde würde von vornherein bedeutungslos."</w:t>
      </w:r>
    </w:p>
    <w:p>
      <w:r>
        <w:t>Da nach der erwähnten Praxis des Bundesgerichts der Umstand, dass die umstrittenen vier Asservate von der Bundesanwaltschaft durchsucht und gegebenenfalls als Beweismittel im Strafverfahren verwendet werden können, keinen Nachteil im Sinn von Art. 93 Abs. 1 lit. a BGG zu begründen vermag, genügt die zitierte Begründung den gesetzlichen Anforderungen offensichtlich nicht. Das umso weniger, als das ZMG bereits mit der in Rechtskraft erwachsenen Verfügung vom 15. März 2018 entschieden hat, dass die umstrittenen Asservate von der Bundesanwaltschaft durchsucht und verwendet werden dürfen und es dementsprechend im vorliegenden Verfahren nur noch um die Vollstreckungsmodalitäten gehen kann. Auf die Beschwerde ist wegen Verletzung der Begründungspflicht nicht einzutreten, und zwar, weil der Mangel offenkundig ist, im vereinfachten Verfahren. Damit wird das Gesuch um aufschiebende Wirkung gegenstandslos.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