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126/2014 vom 11. April 2014</w:t>
      </w:r>
    </w:p>
    <w:p>
      <w:r>
        <w:t>Bundesgericht, 2014-04-11, DE</w:t>
      </w:r>
    </w:p>
    <w:p>
      <w:r>
        <w:rPr>
          <w:b/>
        </w:rPr>
        <w:t xml:space="preserve">Quelle: </w:t>
      </w:r>
      <w:r>
        <w:t>https://mcp.opencaselaw.ch/entscheid/bger_1B_126_2014</w:t>
      </w:r>
    </w:p>
    <w:p>
      <w:r>
        <w:t>FR: TF 1B 126/2014 du 11 avril 2014</w:t>
      </w:r>
    </w:p>
    <w:p>
      <w:r>
        <w:t>IT: TF 1B 126/2014 del 11 aprile 2014</w:t>
      </w:r>
    </w:p>
    <w:p>
      <w:pPr>
        <w:pStyle w:val="Heading2"/>
      </w:pPr>
      <w:r>
        <w:t>Regeste</w:t>
      </w:r>
    </w:p>
    <w:p>
      <w:r>
        <w:t>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Der Umstand, dass in der Zwischenzeit die Untersuchungshaft gegen ihn in Sicherheitshaft umgewandelt und bis zum 3. Juni 2014 verlängert wurde, ändert nichts daran, dass er ein aktuelles Rechtsschutzinteresse an der Überprüfung der Haftvoraussetzungen hat. Der Beschwerdeführer macht die Verletzung von Bundesrecht geltend, was zulässig ist ( Art. 95 lit. a BGG ). Die weiteren Sachurteilsvoraussetzungen geben zu keinen Bemerkungen Anlass, sodass auf die Beschwerde eingetreten werden kann.</w:t>
      </w:r>
    </w:p>
    <w:p>
      <w:r>
        <w:rPr>
          <w:b/>
        </w:rPr>
        <w:t>E. 2</w:t>
      </w:r>
    </w:p>
    <w:p>
      <w:r>
        <w:t>Untersuchungs- und Sicherheitshaft kann unter anderem angeordnet werden, wenn ein dringender Tatverdacht in Bezug auf ein Verbrechen oder Vergehen sowie Fluchtgefahr besteht ( Art. 221 Abs. 1 StPO ).</w:t>
      </w:r>
    </w:p>
    <w:p>
      <w:r>
        <w:rPr>
          <w:b/>
        </w:rPr>
        <w:t>E. 2.1</w:t>
      </w:r>
    </w:p>
    <w:p>
      <w:r>
        <w:t>Der Tatverdacht gegen den Beschwerdeführer richtet sich u.a. auf Verbrechen (Art. 122 i.V.m. Art. 10 Abs. 2 StGB ) und Vergehen (Art. 123, 180, 181 i.V. m. Art. 10 Abs. 3 StGB ). Er beruht, was für Fälle häuslicher Gewalt typisch ist, auf den Anschuldigungen seiner ehemaligen Lebensgefährtin. Er gibt zwar zu, dass er diese mehrfach beschimpft hat, sich ihr gegenüber mehrfach zu Tätlichkeiten hinreissen liess und Drogen konsumierte. Hingegen bestreitet er die schwererwiegenden Vorwürfe der versuchten schweren und der einfachen Körperverletzung. Diesbezüglich seien die Aussagen der Geschädigten unglaubhaft. Ihre Version des Geschehens sei den Behörden mit Schreiben ihrer Anwältin vom 9. September 2013 zur Kenntnis gebracht worden. In der Folge seien diese Vorwürfe von der Polizei in Fragen umformuliert und der Geschädigten gestellt worden. Diese habe den nunmehr zur Anklage erhobenen Sachverhalt gestützt auf diese unzulässigen Suggestivfragen bestätigt. Der Einwand ist unbegründet. Aus dem Umstand, dass die Geschädigte ihre Anschuldigungen zunächst von ihrer Anwältin schriftlich vorbringen liess und diese dann in der polizeilichen Einvernahme im Wesentlichen nur noch bestätigte, kann nicht geschlossen werden, dass sie von vornherein unglaubhaft sind. Das ist denn auch keineswegs der Fall, die Aussagen der Geschädigten vermögen den dringenden Tatverdacht gegen den Beschwerdeführer auch in Bezug auf die schwererwiegenden Vorwürfe ohne weiteres zu stützen. Dies auch vor dem Hintergrund, dass der Beschwerdeführer vom Strafgericht Basel-Stadt am 27. Mai 2011 (u.a.) wegen sexueller Nötigung einer Bekannten zu einer teilbedingten Freiheitsstrafe von 16 Monaten und einer Busse von 300 Franken verurteilt wurde, womit feststeht, dass er bereits einmal gegenüber einer Frau massiv gewalttätig geworden ist. Der Beschwerdeführer versucht zwar, die Aussagen der Geschädigten in einer eingehenden Beweiswürdigung in Zweifel zu ziehen. Die abschliessende Würdigung der Beweismittel ist allerdings dem Strafrichter vorbehalten. Es ist zwar nicht ausgeschlossen, dass es dem Beschwerdeführer im Strafverfahren gelingt, mit seiner Analyse der belastenden Aussagen erhebliche Zweifel an deren Glaubhaftigkeit zu erwecken und eine Verurteilung abzuwenden. Vorliegend ist indessen einzig zu prüfen, ob ein dringender Tatverdacht besteht. Das ist nach dem Gesagten der Fall, die Ausführungen des Beschwerdeführers vermögen ihn nicht zu zerstreuen.</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 Der Beschwerdeführer ist Deutscher und hat zwischen 2002 und 2009 in seinem Heimatland 10 Vorstrafen erwirkt; die Taten wurden bis auf eine Verurteilung zu fünf Monaten Gefängnis mit Geldstrafen geahndet. In der Schweiz wurde der Beschwerdeführer - abgesehen von der unter E. 2.1 erwähnten Verurteilung durch das Strafgericht Basel-Stadt vom 27. Mai 2011 - mit Strafbefehl vom 9. Juni 2010 wegen Betäubungsmitteldelikten mit einer bedingten Geldstrafe von 30 Tagessätzen und einer Busse von 200 Franken bestraft. Dem mehrfach vorbestraften Beschwerdeführer droht für den Fall einer Verurteilung eine empfindliche Freiheitsstrafe. Er führte jedenfalls zuletzt kein geregeltes Leben, ging keiner festen Arbeit nach und verkehrte in der Drogenszene. Mit der Eskalation der Gegenstand dieses Verfahrens bildenden Auseinandersetzung mit seiner ehemaligen Lebensgefährtin hat er zudem seine bisherige Wohnung verloren. Es ist damit ernsthaft zu befürchten, dass sich der Beschwerdeführer in Freiheit der weiteren Strafverfolgung in der Schweiz durch eine Flucht nach Deutschland entziehen und dort bei Verwandten oder Bekannten untertauchen könnte. Das Obergericht hat zu Recht Fluchtgefahr bejaht. Damit kann offen bleiben, ob noch weitere besondere Haftgründe wie etwa Kollusionsgefahr bestehen.</w:t>
      </w:r>
    </w:p>
    <w:p>
      <w:r>
        <w:rPr>
          <w:b/>
        </w:rPr>
        <w:t>E. 2.3</w:t>
      </w:r>
    </w:p>
    <w:p>
      <w:r>
        <w:t>Die Fortführung der Haft ist auch unter dem Gesichtspunkt der Verhältnismässigkeit nicht zu beanstanden. Ein Grenzübertritt von der Schweiz nach Deutschland ist leicht ohne Ausweispapiere zu bewerkstelligen. Eine Ausweis- und Schriftensperre als Ersatzmassnahme könnte den Beschwerdeführer damit nicht an einer Flucht nach Deutschland hindern. Abgesehen davon könnte die Schweiz nicht verhindern, dass sich der Beschwerdeführer in seinem Heimatland neue Papiere verschafft. In zeitlicher Hinsicht ist die Fortführung der Haft ebenfalls nicht zu beanstanden. Der Beschwerdeführer befindet sich seit dem 4. Oktober 2013 und damit seit gut 6 Monaten in Haft; bis zur auf den 26. Juni 2014 angesetzten Hauptverhandlung werden es knapp 9 Monate sein. In Anbetracht der Schwere der Tatvorwürfe und der erst rund drei Jahre zurückliegenden einschlägigen Verurteilung rückt die erstandene Haft bis heute (und auch bis zur erstinstanzlichen Hauptverhandlung) noch nicht in grosse Nähe der zu erwartenden Strafe. Die Fortführung der Untersuchungs- bzw. Sicherheitshaft ist damit auch unter Verhältnismässigkeitsgesichtspunkten nicht zu beanstanden.</w:t>
      </w:r>
    </w:p>
    <w:p>
      <w:r>
        <w:rPr>
          <w:b/>
        </w:rPr>
        <w:t>E. 3</w:t>
      </w:r>
    </w:p>
    <w:p>
      <w:r>
        <w:t>Die Beschwerde ist damit als unbegründet abzuweisen. Bei diesem Ausgang des Verfahrens wird an sich der Beschwerdeführer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