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126/2008 vom 2. Juni 2008</w:t>
      </w:r>
    </w:p>
    <w:p>
      <w:r>
        <w:t>Bundesgericht, 2008-06-02, FR</w:t>
      </w:r>
    </w:p>
    <w:p>
      <w:r>
        <w:rPr>
          <w:b/>
        </w:rPr>
        <w:t xml:space="preserve">Quelle: </w:t>
      </w:r>
      <w:r>
        <w:t>https://mcp.opencaselaw.ch/entscheid/bger_1B_126_2008</w:t>
      </w:r>
    </w:p>
    <w:p>
      <w:r>
        <w:t>FR: TF 1B 126/2008 du 2 juin 2008</w:t>
      </w:r>
    </w:p>
    <w:p>
      <w:r>
        <w:t>IT: TF 1B 126/2008 del 2 giugno 2008</w:t>
      </w:r>
    </w:p>
    <w:p>
      <w:pPr>
        <w:pStyle w:val="Heading2"/>
      </w:pPr>
      <w:r>
        <w:t>Regeste</w:t>
      </w:r>
    </w:p>
    <w:p>
      <w:r>
        <w:t>détention préventive | Procédure pénale</w:t>
      </w:r>
    </w:p>
    <w:p>
      <w:pPr>
        <w:pStyle w:val="Heading2"/>
      </w:pPr>
      <w:r>
        <w:t>Erwägungen</w:t>
      </w:r>
    </w:p>
    <w:p>
      <w:r>
        <w:rPr>
          <w:b/>
        </w:rPr>
        <w:t>E. 1</w:t>
      </w:r>
    </w:p>
    <w:p>
      <w:r>
        <w:t>La voie du recours en matière pénale au sens des art. 78 ss de la loi sur le Tribunal fédéral du 17 juin 2005 (LTF; RS 173.110) est ouverte contre les décisions portant, comme en l'espèce, sur un refus de mise en liberté provisoire prononcé dans le cadre d'une procédure pénale. Formé en temps utile contre une ordonnance prise en dernière instance cantonale et qui touche le recourant dans ses intérêts juridiquement protégés, le recours répond aux exigences des art. 80, 81 al. 1 let. a et b ch. 1 et 100 al. 1 LTF. La conclusion du recourant tendant à ce que le Tribunal fédéral ordonne sa libération immédiate moyennant le versement d'une caution de 10'000 fr. est recevable ( ATF 133 I 270 consid. 1.1 p. 273).</w:t>
      </w:r>
    </w:p>
    <w:p>
      <w:r>
        <w:rPr>
          <w:b/>
        </w:rPr>
        <w:t>E. 2</w:t>
      </w:r>
    </w:p>
    <w:p>
      <w:r>
        <w:t>S'agissant d'une restriction grave à la liberté personnelle garantie par les art. 10 al. 2 et 31 al. 1 Cst., la détention préventive est admissible pour autant qu'elle repose sur une base légale claire, qu'elle réponde à un intérêt public et qu'elle respecte le principe de la proportionnalité (art. 36 al. 1 à 3 Cst.; ATF 124 I 203 consid. 2b p. 204/205; 123 I 268 consid. 2c p. 270). Pour que tel soit le cas, la privation de liberté doit être justifiée par un danger pour la sécurité ou l'ordre public, par un risque de fuite ou par les besoins de l'instruction. Préalablement à ces conditions, il doit exister à l'égard de l'intéressé des charges suffisantes, soit de sérieux soupçons de culpabilité (art. 5 § 1 let . c CEDH). Le Tribunal fédéral examine librement ces questions, sous réserve toutefois de l'appréciation des preuves, qu'il revoit sous l'angle de l'arbitraire ( ATF 123 I 268 consid. 2d p. 271).</w:t>
      </w:r>
    </w:p>
    <w:p>
      <w:r>
        <w:rPr>
          <w:b/>
        </w:rPr>
        <w:t>E. 3</w:t>
      </w:r>
    </w:p>
    <w:p>
      <w:r>
        <w:t>Le recourant ne discute ni la base légale de sa détention ni l'existence de charges suffisantes à son encontre. Il ne conteste pas davantage la persistance d'un risque concret de fuite, seul motif retenu pour justifier son incarcération. Il estime en revanche que ce risque n'est pas aussi important que le retient la décision attaquée et qu'il pourrait être pallié par le versement d'une caution. La Chambre d'accusation aurait violé la liberté personnelle garantie à l' art. 5 CEDH en refusant d'entrer en matière sur le principe d'une libération sous caution.</w:t>
      </w:r>
    </w:p>
    <w:p>
      <w:r>
        <w:rPr>
          <w:b/>
        </w:rPr>
        <w:t>E. 3.1</w:t>
      </w:r>
    </w:p>
    <w:p>
      <w:r>
        <w:t>Aux termes de l'art. 155 du Code de procédure pénale genevois (CPP gen.), la Chambre d'accusation peut ordonner la mise en liberté moyennant des sûretés et obligations, afin de garantir la présence de l'inculpé aux actes de la procédure et sa soumission au jugement ( art. 156 al. 1 CPP gen.). Cette disposition correspond à l'art. 5 § 3 dernière phrase CEDH, selon lequel la mise en liberté peut être subordonnée à une garantie assurant la comparution de l'inculpé à l'audience, ainsi qu'à la liberté personnelle qui, en vertu du principe de la proportionnalité, exige de substituer à la détention tout autre moyen moins contraignant propre à atteindre le même but. L'importance de la garantie doit être appréciée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Le montant de la caution doit être évalué de manière prudente, en particulier dans les cas où l'intéressé s'abstient de fournir des renseignements sur sa situation patrimoniale ou ne fournit que des indications partielles à ce sujet. Lorsque l'instruction pénale porte sur des détournements de fonds importants, dont une grande partie n'a pas pu être récupérée, l'autorité ne peut pas faire abstraction des sommes détournées et fixer le montant de la caution en tenant compte uniquement de la situation actuelle du prévenu, indépendamment des agissements délictueux qu'il aurait commis (arrêt 1B_92/2007 du 19 juin 2007 consid. 8.1 et les arrêts cités). Contrairement à ce que semble croire le recourant, le détenu à titre préventif n'a pas un droit inconditionnel fondé sur l'art. 5 § 3 CEDH à être libéré moyennant le versement de sûretés lorsque, comme en l'espèce, seul le risque de fuite motive le maintien en détention; le juge de la détention peut aussi, en pareil cas, renoncer à ordonner une telle mesure lorsqu'il a la conviction qu'elle ne suffira pas à garantir la présence de l'inculpé aux débats et, le cas échéant, sa soumission au jugement (cf. Sylva Fisnar, Ersatzanordnungen für Untersuchungshaft und Sicherheitshaft in zürcherischen Strafprozess, thèse Zurich 1997, p. 75 et les références citées). Pour apprécier la force dissuasive d'un dépôt de sûretés sur les velléités de fuite de la personne concernée, le juge de la détention jouit d'un certain pouvoir d'appréciation, eu égard à sa maîtrise complète du dossier.</w:t>
      </w:r>
    </w:p>
    <w:p>
      <w:r>
        <w:rPr>
          <w:b/>
        </w:rPr>
        <w:t>E. 3.2</w:t>
      </w:r>
    </w:p>
    <w:p>
      <w:r>
        <w:t>En l'occurrence, le recourant est accusé d'avoir participé à un important trafic de cocaïne entre la Colombie et la Suisse avec son ex-compagne, B.________, qui a été condamnée à dix ans de réclusion à raison de ces faits pour infraction grave à la loi sur les stupéfiants (LStup). Après avoir nié toute implication dans ce trafic, il a reconnu avoir vendu entre 300 et 500 grammes de cocaïne sur Genève. Sur la base des seuls faits admis, il s'expose à une peine privative de liberté d'une certaine importance (cf. art. 19 ch. 1 et 2 let. a LStup ). Les charges retenues à son encontre ne se résument pas à cette infraction. Il est également accusé d'avoir commis avec plusieurs comparses une trentaine de cambriolages à Genève, et un autre cambriolage à Horn. Il admet sa participation à trois ou quatre cambriolages, voire un peu plus, dont un en Thurgovie, et les autres à Genève. Il appartiendra au juge du fond d'évaluer la véracité des allégations au regard des éléments à charge versés au dossier et des infractions retenues dans l'acte d'accusation. On observera au demeurant que le recourant est connu des services de police allemands pour des brigandages et des vols commis dans ce pays entre les mois de janvier 1994 et octobre 1996. Au stade actuel de la procédure, force est d'admettre qu'il s'expose à une peine privative de liberté supérieure à la détention préventive subie à ce jour, même en tenant compte du temps écoulé depuis la commission de ces infractions et du comportement apparemment exemplaire adopté dans l'intervalle. Par ailleurs, le recourant n'a vécu que quelques mois en Suisse et n'y dispose d'aucune attache sociale, personnelle ou professionnelle. Son épouse vit en Autriche avec leur fils de quatre ans. Cela étant, le risque qu'il prenne la fuite pour se rendre auprès de sa famille, dont il est le soutien, est évident. Il importe à cet égard peu que son extradition puisse être obtenue (cf. ATF 123 I 31 consid. 3d p. 36). Il paraît d'autant plus accru que l'instruction est close et le renvoi en jugement imminent. Le recourant travaillait jusqu'à son arrestation en Autriche comme aide-menuisier dans une entreprise spécialisée dans la fabrication de palettes en bois, alors que son épouse est étudiante en médecine. Il réalise un revenu mensuel net variant entre 1'000 et 1'300 euros, selon le nombre d'heures de travail effectuées, pour des charges mensuelles s'élevant à 1'000 euros. Il n'a ni dettes ni économies et ne possède aucun bien qu'il pourrait mettre en gage en garantie de sa présence aux débats. La somme de 10'000 fr. proposée à titre de caution serait cependant versée par des membres de sa famille et de sa belle-famille résidant au Kosovo. Le cautionnement d'un tiers n'est pas exclu. En pareil cas, la question de savoir s'il est suffisant pour parer au risque de fuite dépend alors notamment de l'intensité des liens que le prévenu entretient avec la personne pouvant servir de caution et du montant versé à ce titre (cf. arrêt 1P.727/2001 du 13 décembre 2001 consid. 2.2). La somme offerte comme sûretés est faible au regard de la gravité des infractions en cause et de la peine encourue en cas de condamnation. Le recourant n'a au surplus fourni aucune indication sur l'origine des fonds et sur la situation financière de la famille et de la belle-famille qui permettrait d'admettre que la perspective de perdre cette somme agira comme un frein suffisamment puissant pour écarter toute velléité de fuite. Dans ces circonstances, la Chambre d'accusation pouvait, sans violer la garantie de la liberté personnelle, considérer la caution de 10'000 fr. offerte comme nettement insuffisante pour parer au risque de fuite et rejeter la demande de mise en liberté présentée par le recourant.</w:t>
      </w:r>
    </w:p>
    <w:p>
      <w:r>
        <w:rPr>
          <w:b/>
        </w:rPr>
        <w:t>E. 4</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