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1B_125/2017 vom 31. März 2017</w:t>
      </w:r>
    </w:p>
    <w:p>
      <w:r>
        <w:t>Bundesgericht, 2017-03-31, DE</w:t>
      </w:r>
    </w:p>
    <w:p>
      <w:r>
        <w:rPr>
          <w:b/>
        </w:rPr>
        <w:t xml:space="preserve">Quelle: </w:t>
      </w:r>
      <w:r>
        <w:t>https://mcp.opencaselaw.ch/entscheid/bger_1B_125_2017</w:t>
      </w:r>
    </w:p>
    <w:p>
      <w:r>
        <w:t>FR: TF 1B_125/2017 du 31 mars 2017</w:t>
      </w:r>
    </w:p>
    <w:p>
      <w:r>
        <w:t>IT: TF 1B_125/2017 del 31 marzo 2017</w:t>
      </w:r>
    </w:p>
    <w:p>
      <w:pPr>
        <w:pStyle w:val="Heading2"/>
      </w:pPr>
      <w:r>
        <w:t>Erwägungen</w:t>
      </w:r>
    </w:p>
    <w:p>
      <w:r>
        <w:rPr>
          <w:b/>
        </w:rPr>
        <w:t>E. 1</w:t>
      </w:r>
    </w:p>
    <w:p>
      <w:r>
        <w:t>A.________ erhob am 3. März 2017 gegen die Nichtanhandnahmeverfügung der Staatsanwaltschaft III des Kantons Zürich vom 2. Februar 2017 Beschwerde. Die III. Strafkammer des Obergerichts des Kantons Zürich forderte ihn mit Verfügung vom 8. März 2017 auf, innert 30 Tagen zur Deckung der allfällig ihn treffenden Prozesskosten eine Prozesskaution im Sinne von Art. 383 StPO von Fr. 2'500.-- zu leisten, ansonsten auf die Beschwerde nicht eingetreten werde.</w:t>
      </w:r>
    </w:p>
    <w:p>
      <w:r>
        <w:rPr>
          <w:b/>
        </w:rPr>
        <w:t>E. 2</w:t>
      </w:r>
    </w:p>
    <w:p>
      <w:r>
        <w:t>A.________ führt mit Eingabe vom 26. März 2017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rügt sinngemäss eine Verletzung seines Anspruchs auf unentgeltliche Rechtspflege. Er sei nicht in der Lage, die Prozesskaution zu leisten. Er behauptet indessen nicht, dass er im kantonalen Verfahren ein Gesuch um unentgeltliche Rechtspflege gestellt hätte. Weshalb sein Anspruch auf unentgeltliche Rechtspflege gleichwohl verletzt worden sein sollte, legt er nicht dar. Aus seinen Ausführungen ergibt sich somit nicht ansatzweise, inwiefern die Verfügung der III. Strafkammer den Anspruch auf unentgeltliche Rechtspflege verletzen oder sonstwie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