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1B_125/2014 vom 4. Juni 2014</w:t>
      </w:r>
    </w:p>
    <w:p>
      <w:r>
        <w:t>Bundesgericht, 2014-06-04, FR</w:t>
      </w:r>
    </w:p>
    <w:p>
      <w:r>
        <w:rPr>
          <w:b/>
        </w:rPr>
        <w:t xml:space="preserve">Quelle: </w:t>
      </w:r>
      <w:r>
        <w:t>https://mcp.opencaselaw.ch/entscheid/bger_1B_125_2014</w:t>
      </w:r>
    </w:p>
    <w:p>
      <w:r>
        <w:t>FR: TF 1B_125/2014 du 4 juin 2014</w:t>
      </w:r>
    </w:p>
    <w:p>
      <w:r>
        <w:t>IT: TF 1B_125/2014 del 4 giugno 2014</w:t>
      </w:r>
    </w:p>
    <w:p>
      <w:pPr>
        <w:pStyle w:val="Heading2"/>
      </w:pPr>
      <w:r>
        <w:t>Erwägungen</w:t>
      </w:r>
    </w:p>
    <w:p>
      <w:r>
        <w:rPr>
          <w:b/>
        </w:rPr>
        <w:t>E. 1</w:t>
      </w:r>
    </w:p>
    <w:p>
      <w:r>
        <w:t>La contestation portant sur une décision relative à la défense d'office en matière pénale, le recours au Tribunal fédéral est régi par les art. 78 ss LTF . Formé en temps utile ( art. 100 al. 1 LTF ) contre une décision prise en dernière instance cantonale ( art. 80 al. 1 LTF ) et qui touche la recourante dans ses intérêts juridiquement protégés (art. 81 al. 1 let. a et b ch. 1 LTF), le recours est recevable comme recours en matière pénale. Toutefois, le litige étant limité à la question du changement d'avocat d'office, les conclusions formulées dans l'écriture complémentaire du 7 avril 2014 et tendant à la levée de séquestre, à un dépôt de plainte et à la saisie d'avoirs, sont irrecevables ( art. 99 al. 2 LTF ).</w:t>
      </w:r>
    </w:p>
    <w:p>
      <w:r>
        <w:rPr>
          <w:b/>
        </w:rPr>
        <w:t>E. 1.1</w:t>
      </w:r>
    </w:p>
    <w:p>
      <w:r>
        <w:t>La décision par laquelle le juge refuse un changement de défenseur d'office constitue une décision incidente, qui ne met pas fin à la procédure ( ATF 126 I 207 consid. 1a p. 209; 111 Ia 276 consid. 2b p. 278 s.). Une telle décision ne peut faire l'objet d'un recours au Tribunal fédéral que si elle peut causer un préjudice irréparable ( art. 93 al. 1 let. a LTF ); la partie recourante doit se trouver exposée à un dommage de nature juridique, qui ne puisse pas être réparé ultérieurement par un jugement final ou une autre décision qui lui serait favorable ( ATF 136 IV 92 consid. 4 p. 95; 134 I 83 consid. 3.1 p. 86 s.; 133 IV 335 consid. 4 p. 338, 139 consid. 4 p. 141). Il incombe au recourant de démontrer l'existence d'un tel préjudice lorsque celui-ci n'est pas d'emblée évident ( ATF 134 III 426 consid. 1.2 p. 429; 133 II 353 consid. 1 p. 356 et les références).</w:t>
      </w:r>
    </w:p>
    <w:p>
      <w:r>
        <w:rPr>
          <w:b/>
        </w:rPr>
        <w:t>E. 1.2</w:t>
      </w:r>
    </w:p>
    <w:p>
      <w:r>
        <w:t>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(arrêts 1B_74/2008 du 18 juin 2008 consid. 2; 1B_245/ 2008 du 11 novembre 2008 consid. 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rPr>
          <w:b/>
        </w:rPr>
        <w:t>E. 1.3</w:t>
      </w:r>
    </w:p>
    <w:p>
      <w:r>
        <w:t>En l'espèce, la recourante continue, dans le cadre de la procédure pénale dont elle fait l'objet, d'être assistée par le défenseur qui lui a été désigné en octobre 2011, de sorte qu'elle ne subit en principe pas de préjudice juridique. Elle reproche à son défenseur de n'avoir pas consulté le dossier pénal, mais l'avocat expose avoir reçu le dossier du précédent défenseur, y compris les pièces essentielles dont il dit avoir pris connaissance. En raison des pourparlers et du changement dans la direction de la procédure, celle-ci n'a été reprise qu'à fin 2013 par la convocation à une audience. L'avocat ne saurait donc se voir reprocher d'être resté inactif, et la recourante ne prétend pas qu'il aurait indûment refusé d'entreprendre des démarches qu'elle estimerait nécessaires à sa défense. On ne saurait notamment reprocher à l'avocat de ne pas avoir remis en cause le refus de lever des séquestres pénaux puisqu'aucun élément nouveau n'est intervenu depuis le précédent refus confirmé sur recours.</w:t>
      </w:r>
    </w:p>
    <w:p>
      <w:r>
        <w:t>La recourante perd de vue que la procédure pénale pour laquelle l'avocat a été nommé d'office est limitée à des actes de blanchiment. L'avocat nommé dans ce cadre n'a donc pas à intervenir sur le plan du divorce ou des autres revendications d'ordre civil. La relation de confiance entre la prévenue et son défenseur n'apparaît donc pas "gravement perturbée" pour des motifs objectifs, comme l'exige l' art. 134 al. 2 CPP .</w:t>
      </w:r>
    </w:p>
    <w:p>
      <w:r>
        <w:rPr>
          <w:b/>
        </w:rPr>
        <w:t>E. 2</w:t>
      </w:r>
    </w:p>
    <w:p>
      <w:r>
        <w:t>En définitive, sur le vu de la motivation du recours et de ses compléments, on ne peut que constater que la décision incidente contestée par la recourante ne la prive pas d'une défense effective. Elle ne lui cause donc pas de préjudice juridique irréparable au sens de la jurisprudence susmentionnée. Il s'ensuit que le recours doit être déclaré irrecevable. Compte tenu de cette issue, les frais de la cause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