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125/2013 vom 3. Juni 2013</w:t>
      </w:r>
    </w:p>
    <w:p>
      <w:r>
        <w:t>Bundesgericht, 2013-06-03, DE</w:t>
      </w:r>
    </w:p>
    <w:p>
      <w:r>
        <w:rPr>
          <w:b/>
        </w:rPr>
        <w:t xml:space="preserve">Quelle: </w:t>
      </w:r>
      <w:r>
        <w:t>https://mcp.opencaselaw.ch/entscheid/bger_1B_125_2013</w:t>
      </w:r>
    </w:p>
    <w:p>
      <w:r>
        <w:t>FR: TF 1B 125/2013 du 3 juin 2013</w:t>
      </w:r>
    </w:p>
    <w:p>
      <w:r>
        <w:t>IT: TF 1B 125/2013 del 3 giugno 2013</w:t>
      </w:r>
    </w:p>
    <w:p>
      <w:pPr>
        <w:pStyle w:val="Heading2"/>
      </w:pPr>
      <w:r>
        <w:t>Regeste</w:t>
      </w:r>
    </w:p>
    <w:p>
      <w:r>
        <w:t>Strafverfahren; Beweisergänzung | Strafprozess</w:t>
      </w:r>
    </w:p>
    <w:p>
      <w:pPr>
        <w:pStyle w:val="Heading2"/>
      </w:pPr>
      <w:r>
        <w:t>Erwägungen</w:t>
      </w:r>
    </w:p>
    <w:p>
      <w:r>
        <w:rPr>
          <w:b/>
        </w:rPr>
        <w:t>E. 1</w:t>
      </w:r>
    </w:p>
    <w:p>
      <w:r>
        <w:t>Angefochten ist der Entscheid eines kantonal letztinstanzlichen Gerichts über eine Beschwerde gegen zwei Verfügungen der Staatsanwaltschaft. Dagegen ist die Beschwerde in Strafsachen nach den Art. 78 ff. BGG grundsätzlich zulässig. Allerdings schliesst er das Strafverfahren gegen den Beschwerdeführer nicht ab; es handelt sich um einen Zwischenentscheid im Sinn von Art. 93 Abs. 1 BGG . Als solcher ist er nur anfechtbar, wenn er einen nicht wieder gutzumachenden Nachteil rechtlicher Natur ( BGE 133 IV 139 E. 4) bewirken könnte (lit. a), oder wenn die Gutheissung der Beschwerde sofort einen Endentscheid herbeiführen und damit einen bedeutenden Aufwand an Zeit oder Kosten für ein weitläufiges Beweisverfahren ersparen würde (lit. b). Dabei obliegt dem Beschwerdeführer der Nachweis, dass die Voraussetzungen von Art. 93 BGG erfüllt sind, soweit deren Vorliegen nicht offensichtlich ist ( Art. 42 Abs. 2 BGG ; BGE 136 IV 92 E. 4 und 4.2 S. 95 f.; 134 III 426 E. 1.2 S. 429; 133 III 629 E. 2.3.1 S. 632). Der Beschwerdeführer geht irrigerweise davon aus, einen Endentscheid im Sinn von Art. 90 BGG anzufechten und begründet dementsprechend nicht, inwiefern die Voraussetzungen von Art. 93 Abs. 1 BGG erfüllt sein sollen, und das ist auch keineswegs offensichtlich. Auf die Beschwerde ist insofern nicht einzutreten. Das Bundesgericht verzichtet allerdings auf das Erfordernis eines nicht wieder gutzumachenden Nachteils, sofern eine Verletzung des Beschleunigungsgebots bzw. Rechtsverzögerung gerügt wird ( BGE 138 IV 258 E. 1; 134 IV 43 E. 2.2; Urteil 1B_7/2013 vom 29. Mai 2013 E. 1.4). Der Beschwerdeführer wirft dem Kantonsgericht vor, es habe sich nach der letzten Vernehmlassung der Staatsanwältin für die Beurteilung der Beschwerde rund 5 ½ Monate Zeit gelassen und damit das Verfahren nicht mit der in einem Haftfall gebotenen Beschleunigung vorangetrieben. Ein solch grosser Zeitbedarf in einem überschaubaren und keine besonderen Schwierigkeiten aufwerfenden Beschwerdeverfahren erweckt zwar Bedenken. Selbst wenn aber in der dadurch allenfalls bewirkten Verlängerung des Strafverfahrens eine Verletzung des Beschleunigungsgebots läge, so wäre diese angesichts der Schwere des Tatvorwurfs und der für den Fall einer Verurteilung zu erwartenden empfindlichen Freiheitsstrafe jedenfalls nicht schwerwiegend genug, um die Rechtmässigkeit des Strafverfahrens bzw. der Fortdauer der Untersuchungshaft in Frage zu stellen. Ob wirklich eine Verletzung des verfassungs- und konventionsrechtlichen Beschleunigungsgebots vorliegt, kann unter diesen Umständen denn auch erst der Sachrichter unter der gebotenen Gesamtwürdigung ( BGE 124 I 139 E. 2c) beurteilen, der auch darüber zu befinden hat, in welcher Weise eine allfällige Verletzung des Beschleunigungsgebots wieder gut zu machen ist. In dieser Situation genügt es, die zuständigen Behörden anzuhalten, das Verfahren mit der gebotenen Beförderung weiterzuführen ( BGE 128 I 149 E. 2.2.2; Urteil 1B_126/2012 vom 28. März 2012 E. 5.3).</w:t>
      </w:r>
    </w:p>
    <w:p>
      <w:r>
        <w:rPr>
          <w:b/>
        </w:rPr>
        <w:t>E. 2</w:t>
      </w:r>
    </w:p>
    <w:p>
      <w:r>
        <w:t>Die Beschwerde ist somit im Sinne der Erwägungen abzuweisen, soweit darauf einzutreten ist. Bei diesem Ausgang des Verfahrens wird der Beschwerdeführer kostenpflichtig ( Art. 66 Abs. 1 BGG ). Er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